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67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17"/>
        <w:gridCol w:w="5347"/>
        <w:gridCol w:w="2003"/>
      </w:tblGrid>
      <w:tr>
        <w:trPr>
          <w:trHeight w:val="708" w:hRule="atLeast"/>
          <w:cantSplit w:val="true"/>
        </w:trPr>
        <w:tc>
          <w:tcPr>
            <w:tcW w:w="2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60325</wp:posOffset>
                  </wp:positionV>
                  <wp:extent cx="1337310" cy="81153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 - 13/1</w:t>
            </w:r>
          </w:p>
        </w:tc>
      </w:tr>
      <w:tr>
        <w:trPr>
          <w:trHeight w:val="677" w:hRule="atLeast"/>
          <w:cantSplit w:val="true"/>
        </w:trPr>
        <w:tc>
          <w:tcPr>
            <w:tcW w:w="2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Ulga z tytułu zakupu kasy rejestrującej 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Obowiązuje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od 30.10.2017 r. 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692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314"/>
        <w:gridCol w:w="7377"/>
      </w:tblGrid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Otrzymać zwrot ulgi z tytułu zakupu kasy rejestrującej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Podatników prowadzących działalność gospodarczą, którzy rozpoczęli ewidencjonowanie obrotów za pomocą kasy rejestrującej niebędących podatnikami podatku VAT.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ind w:left="295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Potwierdzona za zgodność z oryginałem kserokopia faktury potwierdzająca zakup kasy rejestrującej wraz z dowodem zapłaty całej należności.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ind w:left="295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osób świadczących usługi przewozu osób i ładunków taksówkami osobowymi i bagażowymi – korzystających ze zwolnienia od podatku od towarów i usług dodatkowo winni złożyć informację o numerze licencji na wykonywanie transportu drogowego taksówką oraz numerze rejestracyjnym i bocznym taksówki, w której zainstalowano kasę rejestrującą. 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ind w:left="295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Fotokopię świadectwa przeprowadzonej legalizacji ponownej taksometru współpracującego z kasą o zastosowaniu specjalnym służącą do prowadzenia ewidencji przy świadczeniu usług przewozu osób i ładunków taksówkami osobowymi i bagażowymi.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napToGrid w:val="false"/>
              <w:spacing w:lineRule="auto" w:line="240" w:before="85" w:after="85"/>
              <w:ind w:left="29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Raport dobowy z pierwszego dnia sprzedaży.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napToGrid w:val="false"/>
              <w:spacing w:lineRule="auto" w:line="240" w:before="85" w:after="85"/>
              <w:ind w:left="0" w:right="0" w:hanging="0"/>
              <w:jc w:val="both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 xml:space="preserve">Wniosek o zwrot </w:t>
              </w:r>
              <w:r>
                <w:rPr>
                  <w:rStyle w:val="Czeinternetowe"/>
                  <w:rFonts w:cs="Arial" w:ascii="Arial" w:hAnsi="Arial"/>
                  <w:color w:val="000000"/>
                  <w:sz w:val="20"/>
                  <w:u w:val="none"/>
                </w:rPr>
                <w:t>kwoty wydatkowanej na zakup kas rejestrujących</w:t>
              </w:r>
            </w:hyperlink>
            <w:r>
              <w:rPr>
                <w:rFonts w:cs="Arial" w:ascii="Arial" w:hAnsi="Arial"/>
                <w:color w:val="000000"/>
                <w:sz w:val="20"/>
                <w:u w:val="none"/>
              </w:rPr>
              <w:t>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 rozpoczęciu ewidencjonowania obrotów za pomocą kasy rejestrującej </w:t>
              <w:br/>
              <w:t>w każdym czasie.</w:t>
            </w:r>
          </w:p>
        </w:tc>
      </w:tr>
      <w:tr>
        <w:trPr>
          <w:trHeight w:val="255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_DdeLink__2_3943078488"/>
            <w:bookmarkEnd w:id="0"/>
            <w:r>
              <w:rPr>
                <w:rFonts w:cs="Arial" w:ascii="Arial" w:hAnsi="Arial"/>
                <w:sz w:val="20"/>
                <w:szCs w:val="20"/>
              </w:rPr>
              <w:t>Drugi Urząd Skarbowy w Gdańsku,</w:t>
            </w:r>
          </w:p>
          <w:p>
            <w:pPr>
              <w:pStyle w:val="Normal"/>
              <w:tabs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80-391 Gdańsk, ul. Kołobrzeska 43, stanowiska nr 2-3.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ekstpodstawowy21"/>
              <w:numPr>
                <w:ilvl w:val="0"/>
                <w:numId w:val="2"/>
              </w:numPr>
              <w:bidi w:val="0"/>
              <w:spacing w:lineRule="auto" w:line="240" w:before="85" w:after="85"/>
              <w:ind w:left="297" w:right="0" w:hanging="284"/>
              <w:jc w:val="left"/>
              <w:rPr/>
            </w:pPr>
            <w:r>
              <w:rPr/>
              <w:t xml:space="preserve">Zwrot 90% kwoty zakupu netto, nie więcej niż 700 zł wydatkowanej na zakup kasy rejestrującej, na rachunek podatnika. 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napToGrid w:val="false"/>
              <w:spacing w:lineRule="auto" w:line="240" w:before="85" w:after="85"/>
              <w:ind w:left="29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Decyzja odmowna. 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realizacji?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ind w:left="360" w:right="0" w:hanging="3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25 dni od daty złożenia wniosku (podania) przez podatników 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Wnieść odwołanie od decyzji w terminie 14 dni od daty jej doręczenia. 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  <w:p>
            <w:pPr>
              <w:pStyle w:val="Normal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Szczegółowe informacje w sprawie można uzyskać pod numerem telefonu </w:t>
            </w:r>
          </w:p>
          <w:p>
            <w:pPr>
              <w:pStyle w:val="Normal"/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(58) 765 44 61.</w:t>
            </w:r>
          </w:p>
        </w:tc>
      </w:tr>
      <w:tr>
        <w:trPr>
          <w:trHeight w:val="272" w:hRule="atLeast"/>
        </w:trPr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355" w:leader="none"/>
              </w:tabs>
              <w:suppressAutoHyphens w:val="true"/>
              <w:bidi w:val="0"/>
              <w:snapToGrid w:val="false"/>
              <w:spacing w:lineRule="auto" w:line="240" w:before="85" w:after="85"/>
              <w:ind w:left="283" w:right="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355" w:leader="none"/>
              </w:tabs>
              <w:suppressAutoHyphens w:val="true"/>
              <w:bidi w:val="0"/>
              <w:snapToGrid w:val="false"/>
              <w:spacing w:lineRule="auto" w:line="240" w:before="85" w:after="85"/>
              <w:ind w:left="283" w:right="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podatku od towarów i usług.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tabs>
                <w:tab w:val="left" w:pos="355" w:leader="none"/>
              </w:tabs>
              <w:suppressAutoHyphens w:val="true"/>
              <w:bidi w:val="0"/>
              <w:snapToGrid w:val="false"/>
              <w:spacing w:lineRule="auto" w:line="240" w:before="85" w:after="85"/>
              <w:ind w:left="283" w:right="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Ministra Finansów w sprawie odliczania i zwrotu kwot wydatkowanych na zakup kasy rejestrującej.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9" w:top="978" w:footer="1417" w:bottom="16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3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Domylnaczcionkaakapitu">
    <w:name w:val="WW-Domyślna czcionka akapitu"/>
    <w:qFormat/>
    <w:rPr/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OpenSymbol;Arial Unicode M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NagwekZnak">
    <w:name w:val="Nagłówek Znak"/>
    <w:qFormat/>
    <w:rPr>
      <w:rFonts w:ascii="Calibri" w:hAnsi="Calibri" w:eastAsia="Calibri" w:cs="Calibri"/>
      <w:sz w:val="22"/>
      <w:szCs w:val="22"/>
    </w:rPr>
  </w:style>
  <w:style w:type="character" w:styleId="StopkaZnak">
    <w:name w:val="Stopka Znak"/>
    <w:qFormat/>
    <w:rPr>
      <w:rFonts w:ascii="Calibri" w:hAnsi="Calibri" w:eastAsia="Calibri" w:cs="Calibri"/>
      <w:sz w:val="22"/>
      <w:szCs w:val="22"/>
    </w:rPr>
  </w:style>
  <w:style w:type="character" w:styleId="TekstdymkaZnak">
    <w:name w:val="Tekst dymka Znak"/>
    <w:qFormat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4">
    <w:name w:val="Nagłówek4"/>
    <w:basedOn w:val="Normal"/>
    <w:qFormat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">
    <w:name w:val="Nagłówek3"/>
    <w:basedOn w:val="Normal"/>
    <w:qFormat/>
    <w:pPr>
      <w:tabs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pl-PL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pl-PL"/>
    </w:rPr>
  </w:style>
  <w:style w:type="paragraph" w:styleId="Tekstpodstawowy21">
    <w:name w:val="Tekst podstawowy 21"/>
    <w:basedOn w:val="Normal"/>
    <w:qFormat/>
    <w:pPr>
      <w:snapToGrid w:val="false"/>
      <w:spacing w:lineRule="auto" w:line="240" w:before="120" w:after="0"/>
      <w:jc w:val="both"/>
    </w:pPr>
    <w:rPr>
      <w:rFonts w:ascii="Arial" w:hAnsi="Arial" w:cs="Arial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3-20-11_us6_dok13_wniosek_o_zwrot_kwoty_wydatkowanej_na_zakup_kasy.doc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LibreOffice/5.3.1.2$Windows_x86 LibreOffice_project/e80a0e0fd1875e1696614d24c32df0f95f03deb2</Application>
  <Pages>1</Pages>
  <Words>288</Words>
  <Characters>1822</Characters>
  <CharactersWithSpaces>2076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2016-04-21T08:06:00Z</dcterms:created>
  <dc:creator>wasewa</dc:creator>
  <dc:description/>
  <dc:language>pl-PL</dc:language>
  <cp:lastModifiedBy/>
  <cp:lastPrinted>2017-10-26T14:49:38Z</cp:lastPrinted>
  <dcterms:modified xsi:type="dcterms:W3CDTF">2017-10-26T14:49:48Z</dcterms:modified>
  <cp:revision>6</cp:revision>
  <dc:subject/>
  <dc:title/>
</cp:coreProperties>
</file>