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 Spraw – II kwartał 2017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Urząd Skarbowy w Malborku</w:t>
      </w:r>
    </w:p>
    <w:p>
      <w:pPr>
        <w:pStyle w:val="Normal"/>
        <w:rPr/>
      </w:pPr>
      <w:r>
        <w:rPr/>
      </w:r>
    </w:p>
    <w:tbl>
      <w:tblPr>
        <w:tblW w:w="9285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1"/>
        <w:gridCol w:w="4125"/>
        <w:gridCol w:w="2295"/>
        <w:gridCol w:w="2293"/>
      </w:tblGrid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88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77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42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52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4158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8380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63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23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166.</w:t>
            </w:r>
            <w:bookmarkStart w:id="0" w:name="_GoBack"/>
            <w:bookmarkEnd w:id="0"/>
            <w:r>
              <w:rPr/>
              <w:t>545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272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350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323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315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qFormat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LibreOffice/5.2.3.3$Windows_x86 LibreOffice_project/d54a8868f08a7b39642414cf2c8ef2f228f780cf</Application>
  <Pages>1</Pages>
  <Words>113</Words>
  <Characters>603</Characters>
  <CharactersWithSpaces>671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2017-07-11T09:38:32Z</cp:lastPrinted>
  <dcterms:modified xsi:type="dcterms:W3CDTF">2017-07-11T09:38:21Z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