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>Drugi Urząd Skarbowy w Gdańsku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Tabelka – Stan Spraw </w:t>
      </w:r>
      <w:r>
        <w:rPr>
          <w:rFonts w:cs="Arial" w:ascii="Arial" w:hAnsi="Arial"/>
          <w:sz w:val="24"/>
          <w:szCs w:val="24"/>
        </w:rPr>
        <w:t>III kwartał 2016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4"/>
        <w:gridCol w:w="4124"/>
        <w:gridCol w:w="2295"/>
        <w:gridCol w:w="2294"/>
      </w:tblGrid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129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156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131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3.764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5.082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255.761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255.761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116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396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701</w:t>
            </w:r>
          </w:p>
        </w:tc>
        <w:tc>
          <w:tcPr>
            <w:tcW w:w="2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366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2016-03-15T07:43:00Z</cp:lastPrinted>
  <dcterms:modified xsi:type="dcterms:W3CDTF">2016-10-10T10:35:59Z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