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Stan Spraw  III kwartał  2020 </w:t>
      </w:r>
    </w:p>
    <w:tbl>
      <w:tblPr>
        <w:tblStyle w:val="Tabela-Siatka"/>
        <w:tblW w:w="9288" w:type="dxa"/>
        <w:jc w:val="left"/>
        <w:tblInd w:w="-65" w:type="dxa"/>
        <w:tblLayout w:type="fixed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4123"/>
        <w:gridCol w:w="2296"/>
        <w:gridCol w:w="2295"/>
      </w:tblGrid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85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87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2 165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2 831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odpowiedzialności osób trzecich i następców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prawnych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56 576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kontroli podatkowej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karne - skarbowe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88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69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Application>LibreOffice/7.0.2.2$Windows_x86 LibreOffice_project/8349ace3c3162073abd90d81fd06dcfb6b36b994</Application>
  <Pages>1</Pages>
  <Words>111</Words>
  <Characters>570</Characters>
  <CharactersWithSpaces>639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2020-10-09T08:16:54Z</cp:lastPrinted>
  <dcterms:modified xsi:type="dcterms:W3CDTF">2020-11-10T09:29:41Z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