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02D7" w:rsidRDefault="000302D7">
      <w:pPr>
        <w:rPr>
          <w:b/>
          <w:szCs w:val="22"/>
        </w:rPr>
      </w:pPr>
    </w:p>
    <w:p w:rsidR="000302D7" w:rsidRDefault="00216CFE">
      <w:r>
        <w:rPr>
          <w:b/>
          <w:szCs w:val="22"/>
        </w:rPr>
        <w:t>Izba Administracji Skarbowej</w:t>
      </w:r>
    </w:p>
    <w:p w:rsidR="000302D7" w:rsidRDefault="00216CFE">
      <w:r>
        <w:rPr>
          <w:b/>
          <w:szCs w:val="22"/>
        </w:rPr>
        <w:t>w Gdańsku</w:t>
      </w:r>
    </w:p>
    <w:p w:rsidR="000302D7" w:rsidRDefault="000302D7">
      <w:pPr>
        <w:rPr>
          <w:b/>
          <w:szCs w:val="22"/>
        </w:rPr>
      </w:pPr>
    </w:p>
    <w:p w:rsidR="000302D7" w:rsidRDefault="000302D7">
      <w:pPr>
        <w:jc w:val="center"/>
        <w:rPr>
          <w:b/>
          <w:szCs w:val="22"/>
        </w:rPr>
      </w:pPr>
    </w:p>
    <w:p w:rsidR="000302D7" w:rsidRDefault="00216CFE">
      <w:r>
        <w:rPr>
          <w:b/>
          <w:bCs/>
          <w:szCs w:val="22"/>
        </w:rPr>
        <w:t>2201-IWW-1.0921.26.2020</w:t>
      </w:r>
    </w:p>
    <w:p w:rsidR="000302D7" w:rsidRDefault="000302D7">
      <w:pPr>
        <w:jc w:val="center"/>
        <w:rPr>
          <w:sz w:val="72"/>
          <w:szCs w:val="72"/>
        </w:rPr>
      </w:pPr>
    </w:p>
    <w:p w:rsidR="000302D7" w:rsidRDefault="000302D7">
      <w:pPr>
        <w:jc w:val="center"/>
        <w:rPr>
          <w:sz w:val="72"/>
          <w:szCs w:val="72"/>
        </w:rPr>
      </w:pPr>
    </w:p>
    <w:p w:rsidR="000302D7" w:rsidRDefault="000302D7">
      <w:pPr>
        <w:jc w:val="center"/>
        <w:rPr>
          <w:sz w:val="72"/>
          <w:szCs w:val="72"/>
        </w:rPr>
      </w:pPr>
    </w:p>
    <w:p w:rsidR="000302D7" w:rsidRDefault="00216CFE">
      <w:pPr>
        <w:jc w:val="center"/>
      </w:pPr>
      <w:r>
        <w:rPr>
          <w:sz w:val="72"/>
          <w:szCs w:val="72"/>
        </w:rPr>
        <w:t>SPRAWOZDANIE</w:t>
      </w:r>
    </w:p>
    <w:p w:rsidR="000302D7" w:rsidRDefault="00216CFE">
      <w:pPr>
        <w:jc w:val="center"/>
      </w:pPr>
      <w:r>
        <w:rPr>
          <w:sz w:val="72"/>
          <w:szCs w:val="72"/>
        </w:rPr>
        <w:t>Z KONTROLI</w:t>
      </w:r>
    </w:p>
    <w:p w:rsidR="000302D7" w:rsidRDefault="000302D7">
      <w:pPr>
        <w:jc w:val="center"/>
        <w:rPr>
          <w:sz w:val="72"/>
          <w:szCs w:val="72"/>
        </w:rPr>
      </w:pPr>
    </w:p>
    <w:p w:rsidR="000302D7" w:rsidRDefault="000302D7">
      <w:pPr>
        <w:rPr>
          <w:sz w:val="72"/>
          <w:szCs w:val="72"/>
        </w:rPr>
      </w:pPr>
    </w:p>
    <w:p w:rsidR="000302D7" w:rsidRDefault="000302D7">
      <w:pPr>
        <w:rPr>
          <w:sz w:val="72"/>
          <w:szCs w:val="72"/>
        </w:rPr>
      </w:pPr>
    </w:p>
    <w:p w:rsidR="000302D7" w:rsidRDefault="000302D7">
      <w:pPr>
        <w:rPr>
          <w:sz w:val="72"/>
          <w:szCs w:val="72"/>
        </w:rPr>
      </w:pPr>
    </w:p>
    <w:p w:rsidR="000302D7" w:rsidRDefault="000302D7">
      <w:pPr>
        <w:rPr>
          <w:sz w:val="72"/>
          <w:szCs w:val="72"/>
        </w:rPr>
      </w:pPr>
    </w:p>
    <w:p w:rsidR="000302D7" w:rsidRDefault="000302D7">
      <w:pPr>
        <w:rPr>
          <w:sz w:val="72"/>
          <w:szCs w:val="72"/>
        </w:rPr>
      </w:pPr>
    </w:p>
    <w:p w:rsidR="000302D7" w:rsidRDefault="000302D7">
      <w:pPr>
        <w:jc w:val="center"/>
        <w:rPr>
          <w:rFonts w:eastAsia="Times"/>
        </w:rPr>
      </w:pPr>
    </w:p>
    <w:p w:rsidR="000302D7" w:rsidRDefault="000302D7">
      <w:pPr>
        <w:jc w:val="center"/>
        <w:rPr>
          <w:rFonts w:eastAsia="Times"/>
        </w:rPr>
      </w:pPr>
    </w:p>
    <w:p w:rsidR="000302D7" w:rsidRDefault="000302D7">
      <w:pPr>
        <w:jc w:val="center"/>
        <w:rPr>
          <w:rFonts w:eastAsia="Times"/>
        </w:rPr>
      </w:pPr>
    </w:p>
    <w:p w:rsidR="000302D7" w:rsidRDefault="000302D7">
      <w:pPr>
        <w:jc w:val="center"/>
        <w:rPr>
          <w:rFonts w:eastAsia="Times"/>
        </w:rPr>
      </w:pPr>
    </w:p>
    <w:p w:rsidR="000302D7" w:rsidRDefault="00216CFE">
      <w:pPr>
        <w:jc w:val="center"/>
      </w:pPr>
      <w:r>
        <w:rPr>
          <w:rFonts w:eastAsia="Times"/>
        </w:rPr>
        <w:t>Izba Administracji Skarbowej w Gdańsku</w:t>
      </w:r>
    </w:p>
    <w:p w:rsidR="000302D7" w:rsidRDefault="00216CFE">
      <w:pPr>
        <w:jc w:val="center"/>
      </w:pPr>
      <w:r>
        <w:rPr>
          <w:rFonts w:eastAsia="Times"/>
        </w:rPr>
        <w:t>ul. Długa 75/76</w:t>
      </w:r>
    </w:p>
    <w:p w:rsidR="000302D7" w:rsidRDefault="00216CFE">
      <w:pPr>
        <w:jc w:val="center"/>
      </w:pPr>
      <w:r>
        <w:rPr>
          <w:rFonts w:eastAsia="Times"/>
        </w:rPr>
        <w:t>80-831 Gdańsk</w:t>
      </w:r>
    </w:p>
    <w:p w:rsidR="000302D7" w:rsidRDefault="000302D7">
      <w:pPr>
        <w:jc w:val="center"/>
        <w:rPr>
          <w:rFonts w:eastAsia="Times"/>
        </w:rPr>
      </w:pPr>
    </w:p>
    <w:p w:rsidR="000302D7" w:rsidRDefault="000302D7"/>
    <w:p w:rsidR="000302D7" w:rsidRDefault="00216CFE">
      <w:pPr>
        <w:numPr>
          <w:ilvl w:val="0"/>
          <w:numId w:val="3"/>
        </w:numPr>
        <w:ind w:left="709"/>
      </w:pPr>
      <w:r>
        <w:rPr>
          <w:b/>
        </w:rPr>
        <w:lastRenderedPageBreak/>
        <w:t>Dane identyfikacyjne kontroli</w:t>
      </w:r>
    </w:p>
    <w:p w:rsidR="000302D7" w:rsidRDefault="000302D7">
      <w:pPr>
        <w:ind w:left="709"/>
        <w:rPr>
          <w:b/>
        </w:rPr>
      </w:pPr>
    </w:p>
    <w:tbl>
      <w:tblPr>
        <w:tblW w:w="10742" w:type="dxa"/>
        <w:tblInd w:w="-6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70" w:type="dxa"/>
          <w:left w:w="103" w:type="dxa"/>
          <w:bottom w:w="85" w:type="dxa"/>
        </w:tblCellMar>
        <w:tblLook w:val="0000" w:firstRow="0" w:lastRow="0" w:firstColumn="0" w:lastColumn="0" w:noHBand="0" w:noVBand="0"/>
      </w:tblPr>
      <w:tblGrid>
        <w:gridCol w:w="1700"/>
        <w:gridCol w:w="9042"/>
      </w:tblGrid>
      <w:tr w:rsidR="000302D7">
        <w:trPr>
          <w:trHeight w:val="741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  <w:vAlign w:val="center"/>
          </w:tcPr>
          <w:p w:rsidR="000302D7" w:rsidRDefault="00216CFE">
            <w:pPr>
              <w:widowControl w:val="0"/>
            </w:pPr>
            <w:r>
              <w:rPr>
                <w:b/>
                <w:i/>
              </w:rPr>
              <w:t>Temat kontroli</w:t>
            </w:r>
          </w:p>
        </w:tc>
        <w:tc>
          <w:tcPr>
            <w:tcW w:w="9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302D7" w:rsidRDefault="00216CFE">
            <w:pPr>
              <w:widowControl w:val="0"/>
              <w:jc w:val="both"/>
            </w:pPr>
            <w:r>
              <w:t>Terminowość wystawiania tytułów wykonawczych i upomnień.</w:t>
            </w:r>
          </w:p>
        </w:tc>
      </w:tr>
      <w:tr w:rsidR="000302D7">
        <w:trPr>
          <w:trHeight w:val="1002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  <w:vAlign w:val="center"/>
          </w:tcPr>
          <w:p w:rsidR="000302D7" w:rsidRDefault="00216CFE">
            <w:pPr>
              <w:widowControl w:val="0"/>
            </w:pPr>
            <w:r>
              <w:rPr>
                <w:b/>
                <w:i/>
              </w:rPr>
              <w:t xml:space="preserve">Jednostka kontrolowana </w:t>
            </w:r>
          </w:p>
        </w:tc>
        <w:tc>
          <w:tcPr>
            <w:tcW w:w="9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302D7" w:rsidRDefault="00216CFE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Naczelnik Trzeciego Urzędu Skarbowego w Gdańsku </w:t>
            </w:r>
          </w:p>
          <w:p w:rsidR="000302D7" w:rsidRDefault="00216CF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ul. Żaglowa 2</w:t>
            </w:r>
          </w:p>
          <w:p w:rsidR="000302D7" w:rsidRDefault="00216CFE">
            <w:pPr>
              <w:widowControl w:val="0"/>
              <w:jc w:val="both"/>
            </w:pPr>
            <w:r>
              <w:rPr>
                <w:bCs/>
              </w:rPr>
              <w:t>80-560 Gdańsk</w:t>
            </w:r>
          </w:p>
        </w:tc>
      </w:tr>
      <w:tr w:rsidR="000302D7">
        <w:trPr>
          <w:trHeight w:val="756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  <w:vAlign w:val="center"/>
          </w:tcPr>
          <w:p w:rsidR="000302D7" w:rsidRDefault="00216CFE">
            <w:pPr>
              <w:widowControl w:val="0"/>
            </w:pPr>
            <w:r>
              <w:rPr>
                <w:b/>
                <w:i/>
              </w:rPr>
              <w:t xml:space="preserve">Kierownik jednostki kontrolowanej </w:t>
            </w:r>
          </w:p>
        </w:tc>
        <w:tc>
          <w:tcPr>
            <w:tcW w:w="9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302D7" w:rsidRDefault="00216CFE">
            <w:pPr>
              <w:widowControl w:val="0"/>
              <w:jc w:val="both"/>
            </w:pPr>
            <w:r>
              <w:rPr>
                <w:b/>
                <w:bCs/>
              </w:rPr>
              <w:t xml:space="preserve">Pan Bohdan Kaczmaryk </w:t>
            </w:r>
          </w:p>
          <w:p w:rsidR="000302D7" w:rsidRDefault="00216CFE">
            <w:pPr>
              <w:widowControl w:val="0"/>
              <w:jc w:val="both"/>
            </w:pPr>
            <w:r>
              <w:t>Naczelnik Trzeciego Urzędu Skarbowego w Gdańsku (zwany dalej Naczelnikiem lub NUS) powołany na stanowisko Naczelnika od dnia 01.08.2018 r.</w:t>
            </w:r>
          </w:p>
        </w:tc>
      </w:tr>
      <w:tr w:rsidR="000302D7">
        <w:trPr>
          <w:trHeight w:val="1382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  <w:vAlign w:val="center"/>
          </w:tcPr>
          <w:p w:rsidR="000302D7" w:rsidRDefault="00216CFE">
            <w:pPr>
              <w:widowControl w:val="0"/>
            </w:pPr>
            <w:r>
              <w:rPr>
                <w:b/>
                <w:i/>
              </w:rPr>
              <w:t>Kontrolerzy</w:t>
            </w:r>
          </w:p>
        </w:tc>
        <w:tc>
          <w:tcPr>
            <w:tcW w:w="9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302D7" w:rsidRDefault="00216CFE">
            <w:pPr>
              <w:widowControl w:val="0"/>
              <w:jc w:val="both"/>
            </w:pPr>
            <w:r>
              <w:t>Marcin Pietruczuk – ekspert skarbowy (koordynator kontroli),</w:t>
            </w:r>
          </w:p>
          <w:p w:rsidR="000302D7" w:rsidRDefault="00216CFE">
            <w:pPr>
              <w:widowControl w:val="0"/>
              <w:jc w:val="both"/>
            </w:pPr>
            <w:r>
              <w:t xml:space="preserve">Krystian Barzowski – kontroler skarbowy, </w:t>
            </w:r>
          </w:p>
          <w:p w:rsidR="000302D7" w:rsidRDefault="00216CFE">
            <w:pPr>
              <w:widowControl w:val="0"/>
              <w:jc w:val="both"/>
            </w:pPr>
            <w:r>
              <w:t>działający na podstawie upoważnienia Dyrektora Izby Administracji Skarbowej w Gdańsku z dnia 24.11.2020 r. nr 2201-IWW-1.0921.26.2020.</w:t>
            </w:r>
          </w:p>
        </w:tc>
      </w:tr>
      <w:tr w:rsidR="000302D7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  <w:vAlign w:val="center"/>
          </w:tcPr>
          <w:p w:rsidR="000302D7" w:rsidRDefault="00216CFE">
            <w:pPr>
              <w:widowControl w:val="0"/>
            </w:pPr>
            <w:r>
              <w:rPr>
                <w:b/>
                <w:i/>
              </w:rPr>
              <w:t xml:space="preserve">Data rozpoczęcia </w:t>
            </w:r>
          </w:p>
          <w:p w:rsidR="000302D7" w:rsidRDefault="00216CFE">
            <w:pPr>
              <w:widowControl w:val="0"/>
            </w:pPr>
            <w:r>
              <w:rPr>
                <w:b/>
                <w:i/>
              </w:rPr>
              <w:t>i zakończenia czynności kontrolnych</w:t>
            </w:r>
          </w:p>
        </w:tc>
        <w:tc>
          <w:tcPr>
            <w:tcW w:w="9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302D7" w:rsidRDefault="00216CFE">
            <w:pPr>
              <w:widowControl w:val="0"/>
              <w:snapToGrid w:val="0"/>
              <w:jc w:val="both"/>
            </w:pPr>
            <w:r>
              <w:t xml:space="preserve">Kontrola w trybie uproszczonym, przeprowadzona w dniach 15.12.2020 r. – 05.03.2021 r. </w:t>
            </w:r>
          </w:p>
        </w:tc>
      </w:tr>
      <w:tr w:rsidR="000302D7">
        <w:trPr>
          <w:trHeight w:val="1281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  <w:vAlign w:val="center"/>
          </w:tcPr>
          <w:p w:rsidR="000302D7" w:rsidRDefault="00216CFE">
            <w:pPr>
              <w:widowControl w:val="0"/>
            </w:pPr>
            <w:r>
              <w:rPr>
                <w:b/>
                <w:i/>
              </w:rPr>
              <w:t>Podstawa prawna</w:t>
            </w:r>
          </w:p>
          <w:p w:rsidR="000302D7" w:rsidRDefault="00216CFE">
            <w:pPr>
              <w:widowControl w:val="0"/>
            </w:pPr>
            <w:r>
              <w:rPr>
                <w:b/>
                <w:i/>
              </w:rPr>
              <w:t xml:space="preserve">prowadzenia kontroli </w:t>
            </w:r>
          </w:p>
        </w:tc>
        <w:tc>
          <w:tcPr>
            <w:tcW w:w="9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302D7" w:rsidRDefault="00216CFE">
            <w:pPr>
              <w:widowControl w:val="0"/>
              <w:jc w:val="both"/>
            </w:pPr>
            <w:r>
              <w:t xml:space="preserve">Art. 6 ust. 5 ustawy z dnia 15 lipca 2011 r. </w:t>
            </w:r>
            <w:r>
              <w:rPr>
                <w:bCs/>
              </w:rPr>
              <w:t>o kontroli w administracji rządowej.</w:t>
            </w:r>
          </w:p>
        </w:tc>
      </w:tr>
      <w:tr w:rsidR="000302D7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  <w:vAlign w:val="center"/>
          </w:tcPr>
          <w:p w:rsidR="000302D7" w:rsidRDefault="00216CFE">
            <w:pPr>
              <w:widowControl w:val="0"/>
            </w:pPr>
            <w:r>
              <w:rPr>
                <w:b/>
                <w:i/>
              </w:rPr>
              <w:t xml:space="preserve">Wpisano </w:t>
            </w:r>
            <w:r>
              <w:rPr>
                <w:b/>
                <w:i/>
              </w:rPr>
              <w:br/>
              <w:t>do ewidencji kontroli</w:t>
            </w:r>
          </w:p>
        </w:tc>
        <w:tc>
          <w:tcPr>
            <w:tcW w:w="9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302D7" w:rsidRDefault="00216CFE">
            <w:pPr>
              <w:widowControl w:val="0"/>
              <w:snapToGrid w:val="0"/>
              <w:jc w:val="both"/>
            </w:pPr>
            <w:r>
              <w:t>Pozycja nr 2/2020.</w:t>
            </w:r>
          </w:p>
        </w:tc>
      </w:tr>
      <w:tr w:rsidR="000302D7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  <w:vAlign w:val="center"/>
          </w:tcPr>
          <w:p w:rsidR="000302D7" w:rsidRDefault="00216CFE">
            <w:pPr>
              <w:widowControl w:val="0"/>
            </w:pPr>
            <w:r>
              <w:rPr>
                <w:b/>
                <w:i/>
              </w:rPr>
              <w:t xml:space="preserve">Okres objęty kontrolą </w:t>
            </w:r>
          </w:p>
        </w:tc>
        <w:tc>
          <w:tcPr>
            <w:tcW w:w="9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302D7" w:rsidRDefault="00216CFE">
            <w:pPr>
              <w:widowControl w:val="0"/>
              <w:snapToGrid w:val="0"/>
              <w:jc w:val="both"/>
            </w:pPr>
            <w:r>
              <w:t>Kontroli podlegało postępowanie organu podatkowego odnośnie zaległości za 2019 i 2020 rok.</w:t>
            </w:r>
          </w:p>
        </w:tc>
      </w:tr>
      <w:tr w:rsidR="000302D7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  <w:vAlign w:val="center"/>
          </w:tcPr>
          <w:p w:rsidR="000302D7" w:rsidRDefault="00216CFE">
            <w:pPr>
              <w:widowControl w:val="0"/>
            </w:pPr>
            <w:r>
              <w:rPr>
                <w:b/>
                <w:i/>
              </w:rPr>
              <w:t>Zakres przedmiotowy kontroli</w:t>
            </w:r>
          </w:p>
        </w:tc>
        <w:tc>
          <w:tcPr>
            <w:tcW w:w="9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302D7" w:rsidRDefault="00216CFE">
            <w:pPr>
              <w:widowControl w:val="0"/>
              <w:jc w:val="both"/>
            </w:pPr>
            <w:r>
              <w:t>Terminowość wystawiania tytułów wykonawczych i upomnień dotyczących zaległości za 2019 i 2020 rok.</w:t>
            </w:r>
          </w:p>
        </w:tc>
      </w:tr>
    </w:tbl>
    <w:p w:rsidR="000302D7" w:rsidRDefault="000302D7">
      <w:pPr>
        <w:rPr>
          <w:b/>
        </w:rPr>
      </w:pPr>
    </w:p>
    <w:p w:rsidR="000302D7" w:rsidRDefault="000302D7">
      <w:pPr>
        <w:rPr>
          <w:b/>
        </w:rPr>
      </w:pPr>
    </w:p>
    <w:p w:rsidR="000302D7" w:rsidRDefault="00216CFE">
      <w:r>
        <w:rPr>
          <w:b/>
        </w:rPr>
        <w:t>II. Ocena kontrolowanej działalności</w:t>
      </w:r>
    </w:p>
    <w:p w:rsidR="000302D7" w:rsidRDefault="000302D7">
      <w:pPr>
        <w:rPr>
          <w:b/>
        </w:rPr>
      </w:pPr>
    </w:p>
    <w:tbl>
      <w:tblPr>
        <w:tblW w:w="10742" w:type="dxa"/>
        <w:tblInd w:w="-7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00"/>
        <w:gridCol w:w="9042"/>
      </w:tblGrid>
      <w:tr w:rsidR="000302D7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  <w:vAlign w:val="center"/>
          </w:tcPr>
          <w:p w:rsidR="000302D7" w:rsidRDefault="00216CFE">
            <w:pPr>
              <w:widowControl w:val="0"/>
            </w:pPr>
            <w:r>
              <w:rPr>
                <w:b/>
                <w:i/>
              </w:rPr>
              <w:t xml:space="preserve">Ocena ogólna </w:t>
            </w:r>
          </w:p>
        </w:tc>
        <w:tc>
          <w:tcPr>
            <w:tcW w:w="9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02D7" w:rsidRDefault="00216CFE">
            <w:pPr>
              <w:widowControl w:val="0"/>
              <w:jc w:val="both"/>
            </w:pPr>
            <w:r>
              <w:t xml:space="preserve">Działania Naczelnika Trzeciego Urzędu Skarbowego w Gdańsku w kierowanym Urzędzie Skarbowym w badanym zakresie oceniono </w:t>
            </w:r>
            <w:r>
              <w:rPr>
                <w:b/>
              </w:rPr>
              <w:t>negatywnie.</w:t>
            </w:r>
          </w:p>
        </w:tc>
      </w:tr>
      <w:tr w:rsidR="000302D7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  <w:vAlign w:val="center"/>
          </w:tcPr>
          <w:p w:rsidR="000302D7" w:rsidRDefault="000302D7">
            <w:pPr>
              <w:widowControl w:val="0"/>
              <w:snapToGrid w:val="0"/>
              <w:rPr>
                <w:b/>
                <w:i/>
              </w:rPr>
            </w:pPr>
          </w:p>
          <w:p w:rsidR="000302D7" w:rsidRDefault="00216CFE">
            <w:pPr>
              <w:widowControl w:val="0"/>
            </w:pPr>
            <w:r>
              <w:rPr>
                <w:b/>
                <w:i/>
              </w:rPr>
              <w:t>Uzasadnienie oceny ogólnej</w:t>
            </w:r>
          </w:p>
        </w:tc>
        <w:tc>
          <w:tcPr>
            <w:tcW w:w="9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02D7" w:rsidRDefault="00216CFE">
            <w:pPr>
              <w:widowControl w:val="0"/>
              <w:snapToGrid w:val="0"/>
              <w:jc w:val="both"/>
            </w:pPr>
            <w:r>
              <w:rPr>
                <w:rStyle w:val="Teksttreci"/>
                <w:sz w:val="24"/>
                <w:lang w:eastAsia="pl-PL" w:bidi="pl-PL"/>
              </w:rPr>
              <w:t>Naczelnik Trzeciego Urzędu Skarbowego w Gdańsku w sposób nieprawidłowy,</w:t>
            </w:r>
            <w:r>
              <w:rPr>
                <w:rStyle w:val="Teksttreci"/>
                <w:sz w:val="24"/>
                <w:lang w:eastAsia="pl-PL" w:bidi="pl-PL"/>
              </w:rPr>
              <w:br/>
            </w:r>
            <w:r>
              <w:t>tj. z opóźnieniem podejmował czynności w ww. obszarze wystawiania upomnień i tytułów wykonawczych dotyczących zaległości za 2019 i 2020 rok</w:t>
            </w:r>
          </w:p>
        </w:tc>
      </w:tr>
    </w:tbl>
    <w:p w:rsidR="000302D7" w:rsidRDefault="000302D7">
      <w:pPr>
        <w:rPr>
          <w:b/>
        </w:rPr>
      </w:pPr>
    </w:p>
    <w:p w:rsidR="000302D7" w:rsidRDefault="000302D7">
      <w:pPr>
        <w:rPr>
          <w:b/>
        </w:rPr>
      </w:pPr>
    </w:p>
    <w:p w:rsidR="000302D7" w:rsidRDefault="000302D7">
      <w:pPr>
        <w:rPr>
          <w:b/>
        </w:rPr>
      </w:pPr>
    </w:p>
    <w:p w:rsidR="000302D7" w:rsidRDefault="00216CFE">
      <w:r>
        <w:rPr>
          <w:b/>
        </w:rPr>
        <w:t>III. Opis ustalonego stanu faktycznego</w:t>
      </w:r>
    </w:p>
    <w:p w:rsidR="000302D7" w:rsidRDefault="000302D7">
      <w:pPr>
        <w:jc w:val="center"/>
        <w:rPr>
          <w:sz w:val="20"/>
        </w:rPr>
      </w:pPr>
    </w:p>
    <w:tbl>
      <w:tblPr>
        <w:tblW w:w="10742" w:type="dxa"/>
        <w:tblInd w:w="-7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00"/>
        <w:gridCol w:w="9042"/>
      </w:tblGrid>
      <w:tr w:rsidR="000302D7">
        <w:trPr>
          <w:trHeight w:val="711"/>
        </w:trPr>
        <w:tc>
          <w:tcPr>
            <w:tcW w:w="10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103" w:type="dxa"/>
            </w:tcMar>
            <w:vAlign w:val="center"/>
          </w:tcPr>
          <w:p w:rsidR="000302D7" w:rsidRDefault="00216CFE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t>Terminowość wystawiania tytułów wykonawczych i upomnień.</w:t>
            </w:r>
          </w:p>
        </w:tc>
      </w:tr>
      <w:tr w:rsidR="000302D7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</w:tcPr>
          <w:p w:rsidR="000302D7" w:rsidRDefault="000302D7">
            <w:pPr>
              <w:widowControl w:val="0"/>
              <w:rPr>
                <w:b/>
                <w:i/>
              </w:rPr>
            </w:pPr>
          </w:p>
          <w:p w:rsidR="000302D7" w:rsidRDefault="00216CFE">
            <w:pPr>
              <w:widowControl w:val="0"/>
            </w:pPr>
            <w:r>
              <w:rPr>
                <w:b/>
                <w:i/>
              </w:rPr>
              <w:t>Stan prawny</w:t>
            </w:r>
          </w:p>
          <w:p w:rsidR="000302D7" w:rsidRDefault="000302D7">
            <w:pPr>
              <w:widowControl w:val="0"/>
              <w:rPr>
                <w:b/>
                <w:i/>
              </w:rPr>
            </w:pPr>
          </w:p>
        </w:tc>
        <w:tc>
          <w:tcPr>
            <w:tcW w:w="9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02D7" w:rsidRDefault="000302D7">
            <w:pPr>
              <w:widowControl w:val="0"/>
              <w:snapToGrid w:val="0"/>
            </w:pPr>
          </w:p>
          <w:p w:rsidR="000302D7" w:rsidRDefault="00216CFE">
            <w:pPr>
              <w:widowControl w:val="0"/>
              <w:snapToGrid w:val="0"/>
              <w:jc w:val="both"/>
            </w:pPr>
            <w:r>
              <w:t>Ustawa z dnia 17.06.1966 r. o postępowaniu egzekucyjnym w administracji (j.t.: Dz.U.</w:t>
            </w:r>
            <w:r>
              <w:br/>
              <w:t>z 2018 r., poz. 1314 ze zm.);</w:t>
            </w:r>
          </w:p>
          <w:p w:rsidR="000302D7" w:rsidRDefault="00216CFE">
            <w:pPr>
              <w:widowControl w:val="0"/>
              <w:snapToGrid w:val="0"/>
              <w:jc w:val="both"/>
            </w:pPr>
            <w:r>
              <w:t>Rozporządzenie Ministra Finansów z dnia 30 grudnia 2015 r. w sprawie postępowania wierzycieli należności pieniężnych (j.t.: Dz.U. z 2017 r., poz. 1483);</w:t>
            </w:r>
          </w:p>
          <w:p w:rsidR="000302D7" w:rsidRDefault="00216CFE">
            <w:pPr>
              <w:widowControl w:val="0"/>
              <w:snapToGrid w:val="0"/>
              <w:jc w:val="both"/>
            </w:pPr>
            <w:r>
              <w:t>Rozporządzenie Ministra Finansów z dnia 23 lipca 2020 r. w sprawie postępowania wierzycieli należności pieniężnych (j.t.: Dz.U. z 2020 r., poz. 1294);</w:t>
            </w:r>
          </w:p>
          <w:p w:rsidR="000302D7" w:rsidRDefault="00216CFE">
            <w:pPr>
              <w:widowControl w:val="0"/>
              <w:snapToGrid w:val="0"/>
              <w:jc w:val="both"/>
            </w:pPr>
            <w:r>
              <w:t>Regulamin Organizacyjny Trzeciego Urzędu Skarbowego w Gdańsku stanowiący załącznik do:</w:t>
            </w:r>
          </w:p>
          <w:p w:rsidR="000302D7" w:rsidRDefault="00216CFE">
            <w:pPr>
              <w:widowControl w:val="0"/>
              <w:numPr>
                <w:ilvl w:val="0"/>
                <w:numId w:val="10"/>
              </w:numPr>
              <w:snapToGrid w:val="0"/>
              <w:jc w:val="both"/>
            </w:pPr>
            <w:r>
              <w:t>Zarządzenia nr 1/2018 Dyrektora Izby Administracji Skarbowej w Gdańsku z dnia 02 stycznia 2018 r.</w:t>
            </w:r>
          </w:p>
          <w:p w:rsidR="000302D7" w:rsidRDefault="00216CFE">
            <w:pPr>
              <w:widowControl w:val="0"/>
              <w:numPr>
                <w:ilvl w:val="0"/>
                <w:numId w:val="10"/>
              </w:numPr>
              <w:snapToGrid w:val="0"/>
              <w:jc w:val="both"/>
            </w:pPr>
            <w:r>
              <w:t>Zarządzenia nr 57/2019 Dyrektora Izby Administracji Skarbowej w Gdańsku z dnia 26 listopada 2019 r.</w:t>
            </w:r>
          </w:p>
          <w:p w:rsidR="000302D7" w:rsidRDefault="00216CFE">
            <w:pPr>
              <w:widowControl w:val="0"/>
              <w:numPr>
                <w:ilvl w:val="0"/>
                <w:numId w:val="10"/>
              </w:numPr>
              <w:snapToGrid w:val="0"/>
              <w:jc w:val="both"/>
            </w:pPr>
            <w:r>
              <w:t>Zarządzenia nr 38/2020 Dyrektora Izby Administracji Skarbowej w Gdańsku z dnia 14 maja 2020 r.</w:t>
            </w:r>
          </w:p>
          <w:p w:rsidR="000302D7" w:rsidRDefault="00216CFE">
            <w:pPr>
              <w:widowControl w:val="0"/>
              <w:numPr>
                <w:ilvl w:val="0"/>
                <w:numId w:val="10"/>
              </w:numPr>
              <w:snapToGrid w:val="0"/>
              <w:jc w:val="both"/>
            </w:pPr>
            <w:r>
              <w:t>Zarządzenia nr 67/2020 Dyrektora Izby Administracji Skarbowej w Gdańsku z dnia 28 września 2020 r.</w:t>
            </w:r>
          </w:p>
          <w:p w:rsidR="000302D7" w:rsidRDefault="000302D7">
            <w:pPr>
              <w:widowControl w:val="0"/>
              <w:snapToGrid w:val="0"/>
            </w:pPr>
          </w:p>
        </w:tc>
      </w:tr>
      <w:tr w:rsidR="000302D7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</w:tcPr>
          <w:p w:rsidR="000302D7" w:rsidRDefault="000302D7">
            <w:pPr>
              <w:widowControl w:val="0"/>
              <w:rPr>
                <w:b/>
                <w:i/>
              </w:rPr>
            </w:pPr>
          </w:p>
          <w:p w:rsidR="000302D7" w:rsidRDefault="00216CFE">
            <w:pPr>
              <w:widowControl w:val="0"/>
            </w:pPr>
            <w:r>
              <w:rPr>
                <w:b/>
                <w:i/>
              </w:rPr>
              <w:t xml:space="preserve">Opis stanu faktycznego </w:t>
            </w:r>
          </w:p>
        </w:tc>
        <w:tc>
          <w:tcPr>
            <w:tcW w:w="9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02D7" w:rsidRDefault="00216CFE">
            <w:pPr>
              <w:widowControl w:val="0"/>
              <w:spacing w:after="60"/>
              <w:jc w:val="both"/>
            </w:pPr>
            <w:r>
              <w:t xml:space="preserve">Zadania w zakresie wystawiania upomnień oraz tytułów wykonawczych w okresie od dnia 01.01.2019 r. do dnia 31.12.2020 r. w kontrolowanej jednostce (na podstawie Regulaminów Organizacyjnych Trzeciego Urzędu Skarbowego w Gdańsku stanowiących załączniki do ww. Zarządzeń nr 1/2018, nr 57/2019, nr 38/2020 i nr 67/2020 Dyrektora Izby Administracji Skarbowej w Gdańsku) realizował Dział Spraw Wierzycielskich (SEW) w pionie poboru i egzekucji (SZNE), podległy bezpośrednio Naczelnikowi Urzędu Skarbowego (NUS). </w:t>
            </w:r>
          </w:p>
          <w:p w:rsidR="000302D7" w:rsidRDefault="00216CFE">
            <w:pPr>
              <w:widowControl w:val="0"/>
              <w:spacing w:after="60"/>
              <w:jc w:val="both"/>
            </w:pPr>
            <w:r>
              <w:t xml:space="preserve">Na podstawie § 15 pkt 1, § 13 pkt 1 ppkt 1, § 12 pkt 1 ppkt 1 ww. Zarządzeń do zadań Działu Spraw Wierzycielskich należało w szczególności </w:t>
            </w:r>
            <w:r>
              <w:rPr>
                <w:i/>
              </w:rPr>
              <w:t>„wykonywanie czynności poprzedzających wszczęcie postępowania egzekucyjnego, w tym podejmowanie działań informacyjnych i dyscyplinujących, wystawianie i doręczanie upomnień oraz wystawianie i przekazywanie do organów egzekucyjnych tytułów wykonawczych i wniosków egzekucyjnych”</w:t>
            </w:r>
            <w:r>
              <w:t>.</w:t>
            </w:r>
          </w:p>
          <w:p w:rsidR="000302D7" w:rsidRDefault="00216CFE">
            <w:pPr>
              <w:widowControl w:val="0"/>
              <w:spacing w:after="60"/>
              <w:jc w:val="both"/>
            </w:pPr>
            <w:r>
              <w:t>Kontroli podlegało postępowanie organu podatkowego odnośnie terminowości wystawiania w wybranych sprawach upomnień oraz tytułów wykonawczych dotyczących zaległości za 2019 i 2020 r. oraz powody braku wystawienia tytułów wykonawczych dotyczących zaległości za 2019 i 2020 r.</w:t>
            </w:r>
          </w:p>
          <w:p w:rsidR="000302D7" w:rsidRDefault="00216CFE">
            <w:pPr>
              <w:pStyle w:val="Teksttreci0"/>
              <w:widowControl w:val="0"/>
              <w:tabs>
                <w:tab w:val="left" w:pos="1095"/>
              </w:tabs>
              <w:spacing w:after="6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Podstawą typowania spraw do kontroli w ww. zakresie był raport sporządzony w Hurtowni WHTAX na dzień </w:t>
            </w:r>
            <w:r w:rsidR="00D71341">
              <w:rPr>
                <w:sz w:val="24"/>
              </w:rPr>
              <w:t>[...]</w:t>
            </w:r>
            <w:r>
              <w:rPr>
                <w:sz w:val="24"/>
              </w:rPr>
              <w:t xml:space="preserve"> r.:</w:t>
            </w:r>
          </w:p>
          <w:p w:rsidR="000302D7" w:rsidRDefault="00216CFE">
            <w:pPr>
              <w:pStyle w:val="NormalnyWeb"/>
              <w:widowControl w:val="0"/>
              <w:numPr>
                <w:ilvl w:val="0"/>
                <w:numId w:val="4"/>
              </w:numPr>
              <w:spacing w:before="280" w:beforeAutospacing="0" w:after="0" w:line="240" w:lineRule="auto"/>
              <w:ind w:left="714" w:hanging="357"/>
              <w:jc w:val="both"/>
            </w:pPr>
            <w:r>
              <w:t xml:space="preserve">obszar ZALEGŁOŚCI: skoroszyt </w:t>
            </w:r>
            <w:r w:rsidR="00D71341">
              <w:t>[...]</w:t>
            </w:r>
            <w:r>
              <w:t xml:space="preserve"> – Zestawienie zaległości przedawnionych oraz zaległości, które będą przedawnione,</w:t>
            </w:r>
          </w:p>
          <w:p w:rsidR="000302D7" w:rsidRDefault="00216CFE">
            <w:pPr>
              <w:pStyle w:val="NormalnyWeb"/>
              <w:widowControl w:val="0"/>
              <w:numPr>
                <w:ilvl w:val="0"/>
                <w:numId w:val="4"/>
              </w:numPr>
              <w:spacing w:before="280" w:beforeAutospacing="0" w:after="0" w:line="240" w:lineRule="auto"/>
              <w:ind w:left="714" w:hanging="357"/>
              <w:jc w:val="both"/>
            </w:pPr>
            <w:r>
              <w:t xml:space="preserve">arkusz: </w:t>
            </w:r>
            <w:r w:rsidR="00935BFE">
              <w:t xml:space="preserve">[...] </w:t>
            </w:r>
            <w:r>
              <w:t xml:space="preserve"> - Zaległości, które będą przedawnione – szczegóły według podatnika na poziomie US według daty przedawnienia (stan na koniec okresu sprawozdawczego),</w:t>
            </w:r>
          </w:p>
          <w:p w:rsidR="000302D7" w:rsidRDefault="00216CFE">
            <w:pPr>
              <w:pStyle w:val="NormalnyWeb"/>
              <w:widowControl w:val="0"/>
              <w:numPr>
                <w:ilvl w:val="0"/>
                <w:numId w:val="4"/>
              </w:numPr>
              <w:spacing w:before="280" w:beforeAutospacing="0" w:after="120" w:line="240" w:lineRule="auto"/>
              <w:ind w:left="714" w:hanging="357"/>
              <w:jc w:val="both"/>
            </w:pPr>
            <w:r>
              <w:rPr>
                <w:shd w:val="clear" w:color="auto" w:fill="FFFFFF"/>
              </w:rPr>
              <w:t xml:space="preserve">numer sprawozdania: </w:t>
            </w:r>
            <w:r w:rsidR="00935BFE">
              <w:t xml:space="preserve">[...] </w:t>
            </w:r>
            <w:r>
              <w:rPr>
                <w:shd w:val="clear" w:color="auto" w:fill="FFFFFF"/>
              </w:rPr>
              <w:t xml:space="preserve"> (tj. według stanu na dzień </w:t>
            </w:r>
            <w:r w:rsidR="00D71341">
              <w:rPr>
                <w:shd w:val="clear" w:color="auto" w:fill="FFFFFF"/>
              </w:rPr>
              <w:t>[...]</w:t>
            </w:r>
            <w:r>
              <w:rPr>
                <w:shd w:val="clear" w:color="auto" w:fill="FFFFFF"/>
              </w:rPr>
              <w:t xml:space="preserve"> r.).</w:t>
            </w:r>
          </w:p>
          <w:p w:rsidR="000302D7" w:rsidRDefault="00216CFE">
            <w:pPr>
              <w:pStyle w:val="Teksttreci0"/>
              <w:widowControl w:val="0"/>
              <w:tabs>
                <w:tab w:val="left" w:pos="1095"/>
              </w:tabs>
              <w:spacing w:after="12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Na podstawie powyższego raportu w drodze jego dalszej modyfikacji sporządzono:</w:t>
            </w:r>
          </w:p>
          <w:p w:rsidR="000302D7" w:rsidRDefault="00216CFE">
            <w:pPr>
              <w:pStyle w:val="NormalnyWeb"/>
              <w:widowControl w:val="0"/>
              <w:numPr>
                <w:ilvl w:val="0"/>
                <w:numId w:val="13"/>
              </w:numPr>
              <w:spacing w:before="280" w:beforeAutospacing="0" w:after="0" w:line="240" w:lineRule="auto"/>
              <w:ind w:left="771" w:hanging="425"/>
              <w:jc w:val="both"/>
            </w:pPr>
            <w:r>
              <w:t xml:space="preserve">2 raporty (za 2019 r. i 2020 r.) obejmujące zaległości podatkowe, w stosunku do </w:t>
            </w:r>
            <w:r>
              <w:lastRenderedPageBreak/>
              <w:t xml:space="preserve">których wyliczona liczba dni pomiędzy kolumnami o nazwie </w:t>
            </w:r>
            <w:r>
              <w:rPr>
                <w:i/>
              </w:rPr>
              <w:t xml:space="preserve">„Data od której możliwe było prowadzenie działań windykacyjnych” </w:t>
            </w:r>
            <w:r>
              <w:t>oraz o nazwie</w:t>
            </w:r>
            <w:r>
              <w:rPr>
                <w:i/>
              </w:rPr>
              <w:t xml:space="preserve"> „Data wystawienia pierwszego tytułu wykonawczego (…)”</w:t>
            </w:r>
            <w:r>
              <w:t xml:space="preserve"> </w:t>
            </w:r>
            <w:r>
              <w:rPr>
                <w:u w:val="single"/>
              </w:rPr>
              <w:t>wynosiła powyżej 40 dni</w:t>
            </w:r>
            <w:r>
              <w:t xml:space="preserve">. </w:t>
            </w:r>
          </w:p>
          <w:p w:rsidR="000302D7" w:rsidRDefault="00216CFE">
            <w:pPr>
              <w:pStyle w:val="NormalnyWeb"/>
              <w:widowControl w:val="0"/>
              <w:spacing w:before="280" w:beforeAutospacing="0" w:after="0" w:line="240" w:lineRule="auto"/>
              <w:ind w:left="771"/>
              <w:jc w:val="both"/>
            </w:pPr>
            <w:r>
              <w:t xml:space="preserve">Przedmiotowe kryterium spełniło </w:t>
            </w:r>
            <w:r>
              <w:rPr>
                <w:b/>
              </w:rPr>
              <w:t>773</w:t>
            </w:r>
            <w:r>
              <w:t xml:space="preserve"> zaległości za 2019 r. Natomiast w zakresie zaległości za 2020 r. raport dodatkowo zawężono do zaległości, w stosunku do których tytuły wykonawcze wystawiono w lipcu i sierpniu 2020 r. Przedmiotowe kryteria spełniło </w:t>
            </w:r>
            <w:r>
              <w:rPr>
                <w:b/>
              </w:rPr>
              <w:t>73</w:t>
            </w:r>
            <w:r>
              <w:t xml:space="preserve"> zaległości. </w:t>
            </w:r>
          </w:p>
          <w:p w:rsidR="000302D7" w:rsidRDefault="00216CFE">
            <w:pPr>
              <w:pStyle w:val="NormalnyWeb"/>
              <w:widowControl w:val="0"/>
              <w:numPr>
                <w:ilvl w:val="0"/>
                <w:numId w:val="13"/>
              </w:numPr>
              <w:spacing w:before="280" w:beforeAutospacing="0" w:after="0" w:line="240" w:lineRule="auto"/>
              <w:ind w:left="771" w:hanging="425"/>
              <w:jc w:val="both"/>
            </w:pPr>
            <w:r>
              <w:t>2 raporty (za 2019 r. i 2020 r.) obejmujące zaległości podatkowe, w stosunku do których według stanu na dzień 31.10.2020 r. nie wystawiono tytułów wykonawczych.</w:t>
            </w:r>
          </w:p>
          <w:p w:rsidR="000302D7" w:rsidRDefault="00216CFE">
            <w:pPr>
              <w:pStyle w:val="NormalnyWeb"/>
              <w:widowControl w:val="0"/>
              <w:spacing w:before="280" w:beforeAutospacing="0" w:after="0" w:line="240" w:lineRule="auto"/>
              <w:ind w:left="771"/>
              <w:jc w:val="both"/>
            </w:pPr>
            <w:r>
              <w:t xml:space="preserve">Przedmiotowe 2 raporty dodatkowo zawężono do zaległości których: </w:t>
            </w:r>
          </w:p>
          <w:p w:rsidR="000302D7" w:rsidRDefault="00216CFE">
            <w:pPr>
              <w:pStyle w:val="NormalnyWeb"/>
              <w:widowControl w:val="0"/>
              <w:numPr>
                <w:ilvl w:val="0"/>
                <w:numId w:val="14"/>
              </w:numPr>
              <w:spacing w:before="280" w:beforeAutospacing="0" w:after="0" w:line="240" w:lineRule="auto"/>
              <w:jc w:val="both"/>
            </w:pPr>
            <w:r>
              <w:t>data od której możliwe było prowadzenie działań windykacyjnych przypadała do 31.08.2020 r.,</w:t>
            </w:r>
          </w:p>
          <w:p w:rsidR="000302D7" w:rsidRDefault="00216CFE">
            <w:pPr>
              <w:pStyle w:val="NormalnyWeb"/>
              <w:widowControl w:val="0"/>
              <w:numPr>
                <w:ilvl w:val="0"/>
                <w:numId w:val="14"/>
              </w:numPr>
              <w:spacing w:before="280" w:beforeAutospacing="0" w:after="0" w:line="240" w:lineRule="auto"/>
              <w:jc w:val="both"/>
            </w:pPr>
            <w:r>
              <w:t>wysokość przekraczała dziesięciokrotność kosztów upomnienia (&gt;</w:t>
            </w:r>
            <w:r w:rsidR="00D71341">
              <w:t>[...]zł</w:t>
            </w:r>
            <w:r>
              <w:t>)</w:t>
            </w:r>
          </w:p>
          <w:p w:rsidR="000302D7" w:rsidRDefault="00216CFE">
            <w:pPr>
              <w:pStyle w:val="NormalnyWeb"/>
              <w:widowControl w:val="0"/>
              <w:spacing w:before="280" w:beforeAutospacing="0" w:after="0" w:line="240" w:lineRule="auto"/>
              <w:ind w:left="771"/>
              <w:jc w:val="both"/>
            </w:pPr>
            <w:r>
              <w:t xml:space="preserve">Przedmiotowe kryteria spełniło </w:t>
            </w:r>
            <w:r>
              <w:rPr>
                <w:b/>
              </w:rPr>
              <w:t>2.994</w:t>
            </w:r>
            <w:r>
              <w:t xml:space="preserve"> zaległości za 2019 r. oraz </w:t>
            </w:r>
            <w:r>
              <w:rPr>
                <w:b/>
              </w:rPr>
              <w:t>631</w:t>
            </w:r>
            <w:r>
              <w:t xml:space="preserve"> zaległości za 2020 r.</w:t>
            </w:r>
          </w:p>
          <w:p w:rsidR="000302D7" w:rsidRDefault="00216CFE">
            <w:pPr>
              <w:pStyle w:val="Teksttreci0"/>
              <w:widowControl w:val="0"/>
              <w:tabs>
                <w:tab w:val="left" w:pos="1095"/>
              </w:tabs>
              <w:spacing w:before="120" w:after="6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Z ww. próby do kontroli wytypowano </w:t>
            </w:r>
            <w:r>
              <w:rPr>
                <w:b/>
                <w:sz w:val="24"/>
              </w:rPr>
              <w:t>39 zaległości</w:t>
            </w:r>
            <w:r>
              <w:rPr>
                <w:sz w:val="24"/>
              </w:rPr>
              <w:t xml:space="preserve"> należących do 37 podatników (</w:t>
            </w:r>
            <w:r>
              <w:rPr>
                <w:b/>
                <w:sz w:val="24"/>
              </w:rPr>
              <w:t>32</w:t>
            </w:r>
            <w:r>
              <w:rPr>
                <w:sz w:val="24"/>
              </w:rPr>
              <w:t xml:space="preserve"> zaległości w zakresie terminowości wystawienia upomnień i tytułów wykonawczych oraz </w:t>
            </w: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 xml:space="preserve"> zaległości, w stosunku do których według stanu na dzień 31.10.2020 r. nie wystawiono tytułów wykonawczych) – na podstawie nw. kryteriów:</w:t>
            </w:r>
          </w:p>
          <w:p w:rsidR="000302D7" w:rsidRDefault="00216CFE">
            <w:pPr>
              <w:pStyle w:val="NormalnyWeb"/>
              <w:widowControl w:val="0"/>
              <w:numPr>
                <w:ilvl w:val="0"/>
                <w:numId w:val="4"/>
              </w:numPr>
              <w:tabs>
                <w:tab w:val="left" w:pos="1095"/>
              </w:tabs>
              <w:spacing w:before="280" w:beforeAutospacing="0" w:after="60" w:line="240" w:lineRule="auto"/>
              <w:ind w:hanging="374"/>
              <w:jc w:val="both"/>
            </w:pPr>
            <w:r>
              <w:t>kwoty zaległości: wybrano sprawy o najwyższej kwocie zaległości podatkowych,</w:t>
            </w:r>
          </w:p>
          <w:p w:rsidR="000302D7" w:rsidRDefault="00216CFE">
            <w:pPr>
              <w:pStyle w:val="NormalnyWeb"/>
              <w:widowControl w:val="0"/>
              <w:numPr>
                <w:ilvl w:val="0"/>
                <w:numId w:val="4"/>
              </w:numPr>
              <w:tabs>
                <w:tab w:val="left" w:pos="1095"/>
              </w:tabs>
              <w:spacing w:before="280" w:beforeAutospacing="0" w:after="0" w:line="240" w:lineRule="auto"/>
              <w:ind w:hanging="374"/>
              <w:jc w:val="both"/>
            </w:pPr>
            <w:r>
              <w:t>najdłuższego opóźnienia czasowego w wystawieniu upomnienia: wybrano sprawy</w:t>
            </w:r>
            <w:r>
              <w:br/>
              <w:t>o najdłuższym odstępie czasowym (ilość dni) od dnia, od którego możliwe było prowadzenie działań windykacyjnych do dnia wystawienia upomnienia,</w:t>
            </w:r>
          </w:p>
          <w:p w:rsidR="000302D7" w:rsidRDefault="00216CFE">
            <w:pPr>
              <w:pStyle w:val="NormalnyWeb"/>
              <w:widowControl w:val="0"/>
              <w:numPr>
                <w:ilvl w:val="0"/>
                <w:numId w:val="4"/>
              </w:numPr>
              <w:tabs>
                <w:tab w:val="left" w:pos="1095"/>
              </w:tabs>
              <w:spacing w:before="280" w:beforeAutospacing="0" w:after="0" w:line="240" w:lineRule="auto"/>
              <w:ind w:hanging="374"/>
              <w:jc w:val="both"/>
            </w:pPr>
            <w:r>
              <w:t xml:space="preserve">najdłuższego opóźnienia czasowego w wystawieniu tytułu wykonawczego: wybrano sprawy o najdłuższym odstępie czasowym (ilość dni) od dnia, od którego możliwe było prowadzenie działań windykacyjnych do dnia wystawienia tytułu wykonawczego. </w:t>
            </w:r>
          </w:p>
          <w:p w:rsidR="000302D7" w:rsidRDefault="000302D7">
            <w:pPr>
              <w:pStyle w:val="NormalnyWeb"/>
              <w:widowControl w:val="0"/>
              <w:tabs>
                <w:tab w:val="left" w:pos="1095"/>
              </w:tabs>
              <w:spacing w:before="280" w:beforeAutospacing="0" w:after="0" w:line="240" w:lineRule="auto"/>
              <w:ind w:left="720"/>
              <w:jc w:val="both"/>
              <w:rPr>
                <w:sz w:val="14"/>
              </w:rPr>
            </w:pPr>
          </w:p>
          <w:p w:rsidR="000302D7" w:rsidRDefault="00216CFE">
            <w:pPr>
              <w:pStyle w:val="Teksttreci0"/>
              <w:widowControl w:val="0"/>
              <w:tabs>
                <w:tab w:val="left" w:pos="1095"/>
              </w:tabs>
              <w:spacing w:after="60"/>
              <w:ind w:firstLine="0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Zgodnie z treścią § 7 ust. 1 rozporządzenia Ministra Finansów z dnia 30 grudnia 2015 r.</w:t>
            </w:r>
            <w:r>
              <w:rPr>
                <w:sz w:val="24"/>
              </w:rPr>
              <w:br/>
              <w:t xml:space="preserve">w sprawie postępowania wierzycieli należności pieniężnych (obowiązującego </w:t>
            </w:r>
            <w:r>
              <w:rPr>
                <w:sz w:val="24"/>
                <w:u w:val="single"/>
              </w:rPr>
              <w:t>do dnia 29.07.2020 r.</w:t>
            </w:r>
            <w:r>
              <w:rPr>
                <w:sz w:val="24"/>
              </w:rPr>
              <w:t xml:space="preserve">), </w:t>
            </w:r>
            <w:r>
              <w:rPr>
                <w:b/>
                <w:i/>
                <w:sz w:val="24"/>
              </w:rPr>
              <w:t>wierzyciel przesyła zobowiązanemu upomnienie:</w:t>
            </w:r>
          </w:p>
          <w:p w:rsidR="000302D7" w:rsidRDefault="00216CFE">
            <w:pPr>
              <w:widowControl w:val="0"/>
              <w:numPr>
                <w:ilvl w:val="0"/>
                <w:numId w:val="8"/>
              </w:numPr>
              <w:spacing w:after="60"/>
              <w:jc w:val="both"/>
              <w:rPr>
                <w:i/>
              </w:rPr>
            </w:pPr>
            <w:r>
              <w:rPr>
                <w:b/>
                <w:i/>
              </w:rPr>
              <w:t>niezwłocznie</w:t>
            </w:r>
            <w:r>
              <w:rPr>
                <w:i/>
              </w:rPr>
              <w:t>, w szczególności jeżeli:</w:t>
            </w:r>
          </w:p>
          <w:p w:rsidR="000302D7" w:rsidRDefault="00216CFE">
            <w:pPr>
              <w:widowControl w:val="0"/>
              <w:numPr>
                <w:ilvl w:val="0"/>
                <w:numId w:val="9"/>
              </w:numPr>
              <w:ind w:left="1332" w:hanging="357"/>
              <w:jc w:val="both"/>
              <w:rPr>
                <w:i/>
              </w:rPr>
            </w:pPr>
            <w:r>
              <w:rPr>
                <w:i/>
              </w:rPr>
              <w:t>łączna wysokość należności pieniężnych wraz z odsetkami z tytułu niezapłacenia w terminie należności pieniężnych przekroczy dziesięciokrotność kosztów upomnienia i nie zostały podjęte działania informacyjne,</w:t>
            </w:r>
          </w:p>
          <w:p w:rsidR="000302D7" w:rsidRDefault="00216CFE">
            <w:pPr>
              <w:widowControl w:val="0"/>
              <w:numPr>
                <w:ilvl w:val="0"/>
                <w:numId w:val="9"/>
              </w:numPr>
              <w:spacing w:after="60"/>
              <w:ind w:left="1338"/>
              <w:jc w:val="both"/>
              <w:rPr>
                <w:i/>
              </w:rPr>
            </w:pPr>
            <w:r>
              <w:rPr>
                <w:i/>
              </w:rPr>
              <w:t>z podjętych działań informacyjnych w sprawie wynika, że obowiązek nie zostanie dobrowolnie wykonany;</w:t>
            </w:r>
          </w:p>
          <w:p w:rsidR="000302D7" w:rsidRDefault="00216CFE">
            <w:pPr>
              <w:widowControl w:val="0"/>
              <w:numPr>
                <w:ilvl w:val="0"/>
                <w:numId w:val="8"/>
              </w:numPr>
              <w:spacing w:after="120"/>
              <w:jc w:val="both"/>
              <w:rPr>
                <w:i/>
              </w:rPr>
            </w:pPr>
            <w:r>
              <w:rPr>
                <w:i/>
              </w:rPr>
              <w:t xml:space="preserve"> nie później niż po upływie 21 dni od dnia, w którym po raz pierwszy podjęto działania informacyjne, jeżeli z tych działań wynika, że obowiązek zostanie dobrowolnie wykonany.</w:t>
            </w:r>
          </w:p>
          <w:p w:rsidR="000302D7" w:rsidRDefault="00216CFE">
            <w:pPr>
              <w:pStyle w:val="Teksttreci0"/>
              <w:widowControl w:val="0"/>
              <w:tabs>
                <w:tab w:val="left" w:pos="1095"/>
              </w:tabs>
              <w:spacing w:after="6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Jak stanowi § 3 ust. 1 rozporządzenia Ministra Finansów z dnia 23 lipca 2020 r.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lastRenderedPageBreak/>
              <w:t xml:space="preserve">w sprawie postępowania wierzycieli należności pieniężnych (obowiązującego </w:t>
            </w:r>
            <w:r>
              <w:rPr>
                <w:sz w:val="24"/>
                <w:u w:val="single"/>
              </w:rPr>
              <w:t>od dnia 30.07.2020 r.</w:t>
            </w:r>
            <w:r>
              <w:rPr>
                <w:sz w:val="24"/>
              </w:rPr>
              <w:t xml:space="preserve">), </w:t>
            </w:r>
            <w:r>
              <w:rPr>
                <w:b/>
                <w:i/>
                <w:sz w:val="24"/>
              </w:rPr>
              <w:t>wierzyciel przesyła zobowiązanemu upomnienie</w:t>
            </w:r>
            <w:r>
              <w:rPr>
                <w:i/>
                <w:sz w:val="24"/>
              </w:rPr>
              <w:t>, o ile jest wymagane,</w:t>
            </w:r>
            <w:r>
              <w:rPr>
                <w:i/>
                <w:sz w:val="24"/>
              </w:rPr>
              <w:br/>
              <w:t>w zakresie należności pieniężnej, której wysokość:</w:t>
            </w:r>
          </w:p>
          <w:p w:rsidR="000302D7" w:rsidRDefault="00216CFE">
            <w:pPr>
              <w:widowControl w:val="0"/>
              <w:numPr>
                <w:ilvl w:val="0"/>
                <w:numId w:val="11"/>
              </w:numPr>
              <w:spacing w:after="60"/>
              <w:jc w:val="both"/>
              <w:rPr>
                <w:i/>
              </w:rPr>
            </w:pPr>
            <w:r>
              <w:rPr>
                <w:i/>
              </w:rPr>
              <w:t>przekracza dziesięciokrotność kosztów upomnienia:</w:t>
            </w:r>
          </w:p>
          <w:p w:rsidR="000302D7" w:rsidRDefault="00216CFE">
            <w:pPr>
              <w:widowControl w:val="0"/>
              <w:numPr>
                <w:ilvl w:val="0"/>
                <w:numId w:val="12"/>
              </w:numPr>
              <w:jc w:val="both"/>
              <w:rPr>
                <w:i/>
              </w:rPr>
            </w:pPr>
            <w:r>
              <w:rPr>
                <w:b/>
                <w:i/>
              </w:rPr>
              <w:t>niezwłocznie – jeżeli nie zostały podjęte działania informacyjne</w:t>
            </w:r>
            <w:r>
              <w:rPr>
                <w:i/>
              </w:rPr>
              <w:t>,</w:t>
            </w:r>
          </w:p>
          <w:p w:rsidR="000302D7" w:rsidRDefault="00216CFE">
            <w:pPr>
              <w:widowControl w:val="0"/>
              <w:numPr>
                <w:ilvl w:val="0"/>
                <w:numId w:val="12"/>
              </w:numPr>
              <w:jc w:val="both"/>
              <w:rPr>
                <w:i/>
              </w:rPr>
            </w:pPr>
            <w:r>
              <w:rPr>
                <w:i/>
              </w:rPr>
              <w:t>przed upływem 21 dni od dnia, w którym po raz pierwszy podjęto działanie informacyjne,</w:t>
            </w:r>
          </w:p>
          <w:p w:rsidR="000302D7" w:rsidRDefault="00216CFE">
            <w:pPr>
              <w:widowControl w:val="0"/>
              <w:numPr>
                <w:ilvl w:val="0"/>
                <w:numId w:val="11"/>
              </w:numPr>
              <w:spacing w:after="240"/>
              <w:jc w:val="both"/>
              <w:rPr>
                <w:i/>
              </w:rPr>
            </w:pPr>
            <w:r>
              <w:rPr>
                <w:i/>
              </w:rPr>
              <w:t>nie przekracza dziesięciokrotności kosztów upomnienia – przed upływem</w:t>
            </w:r>
            <w:r>
              <w:rPr>
                <w:i/>
              </w:rPr>
              <w:br/>
              <w:t>6 miesięcy poprzedzających upływ terminu przedawnienia należności pieniężnej.</w:t>
            </w:r>
          </w:p>
          <w:p w:rsidR="000302D7" w:rsidRDefault="00216CFE">
            <w:pPr>
              <w:pStyle w:val="Teksttreci0"/>
              <w:widowControl w:val="0"/>
              <w:tabs>
                <w:tab w:val="left" w:pos="1095"/>
              </w:tabs>
              <w:spacing w:after="120"/>
              <w:ind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Zgodnie z art. 15 § 1 ustawy z dnia 17 czerwca 1966 r. o postępowaniu egzekucyjnym w administracji (w brzmieniu obowiązującym w 2019 r. i 2020 r.) </w:t>
            </w:r>
            <w:r>
              <w:rPr>
                <w:i/>
                <w:sz w:val="24"/>
              </w:rPr>
              <w:t xml:space="preserve">egzekucja administracyjna może być wszczęta, jeżeli wierzyciel, </w:t>
            </w:r>
            <w:r>
              <w:rPr>
                <w:b/>
                <w:i/>
                <w:sz w:val="24"/>
              </w:rPr>
              <w:t>po upływie terminu do wykonania przez zobowiązanego obowiązku, przesłał mu pisemne upomnienie, zawierające wezwanie do wykonania obowiązku z zagrożeniem skierowania sprawy na drogę postępowania egzekucyjnego</w:t>
            </w:r>
            <w:r>
              <w:rPr>
                <w:i/>
                <w:sz w:val="24"/>
              </w:rPr>
              <w:t xml:space="preserve">, chyba że przepisy szczególne inaczej stanowią. </w:t>
            </w:r>
            <w:r>
              <w:rPr>
                <w:b/>
                <w:i/>
                <w:sz w:val="24"/>
              </w:rPr>
              <w:t>Postępowanie egzekucyjne może być wszczęte dopiero po upływie 7 dni od dnia doręczenia tego upomnienia</w:t>
            </w:r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 xml:space="preserve"> W myśl art. 26 § 1 ww. ustawy, </w:t>
            </w:r>
            <w:r>
              <w:rPr>
                <w:i/>
                <w:sz w:val="24"/>
              </w:rPr>
              <w:t>organ egzekucyjny wszczyna egzekucję administracyjną na wniosek wierzyciela i na podstawie wystawionego przez niego tytułu wykonawczego, sporządzonego według ustalonego wzoru.</w:t>
            </w:r>
          </w:p>
        </w:tc>
      </w:tr>
      <w:tr w:rsidR="000302D7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</w:tcPr>
          <w:p w:rsidR="000302D7" w:rsidRDefault="000302D7">
            <w:pPr>
              <w:widowControl w:val="0"/>
              <w:rPr>
                <w:b/>
                <w:i/>
              </w:rPr>
            </w:pPr>
          </w:p>
          <w:p w:rsidR="000302D7" w:rsidRDefault="00216CF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Ustalenia </w:t>
            </w:r>
          </w:p>
        </w:tc>
        <w:tc>
          <w:tcPr>
            <w:tcW w:w="9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02D7" w:rsidRDefault="00216CFE">
            <w:pPr>
              <w:widowControl w:val="0"/>
              <w:jc w:val="both"/>
            </w:pPr>
            <w:r>
              <w:t>Z uwagi na specyficzną sytuację zaistniałą w 2020 r. związaną z rozprzestrzenianiem się wirusa SARS-CoV-2 oraz związanymi z tym m.in. problemami kadrowymi i dodatkowymi zadaniami komórki wierzycielskiej w postaci rozpatrywania znacznej liczby wniosków</w:t>
            </w:r>
            <w:r>
              <w:br/>
              <w:t>o ulgę w spłacie (według złożonych sprawozdań: 767 wniosków i 608 wydanych decyzji</w:t>
            </w:r>
            <w:r>
              <w:br/>
              <w:t xml:space="preserve">w 2020 r.) kontrolujący przyjęli odrębne kryteria terminowości wystawiania upomnień oraz tytułów wykonawczych w zależności od tego, czy czynności przedegzekucyjne mogły zostać dokonane w 2019 r. czy w 2020 r. W stosunku do zaległości, do których czynności mogły zostać dokonane: </w:t>
            </w:r>
          </w:p>
          <w:p w:rsidR="000302D7" w:rsidRDefault="00216CFE">
            <w:pPr>
              <w:pStyle w:val="Akapitzlist"/>
              <w:widowControl w:val="0"/>
              <w:numPr>
                <w:ilvl w:val="0"/>
                <w:numId w:val="16"/>
              </w:numPr>
              <w:jc w:val="both"/>
            </w:pPr>
            <w:r>
              <w:t xml:space="preserve">w 2019 r. przyjęto jako dopuszczalne do </w:t>
            </w:r>
            <w:r>
              <w:rPr>
                <w:b/>
              </w:rPr>
              <w:t>14 dni</w:t>
            </w:r>
            <w:r>
              <w:t xml:space="preserve"> zwłoki w wystawianiu upomnień</w:t>
            </w:r>
            <w:r>
              <w:br/>
              <w:t>i tytułów wykonawczych licząc:</w:t>
            </w:r>
          </w:p>
          <w:p w:rsidR="000302D7" w:rsidRDefault="00216CFE">
            <w:pPr>
              <w:pStyle w:val="Akapitzlist"/>
              <w:widowControl w:val="0"/>
              <w:numPr>
                <w:ilvl w:val="0"/>
                <w:numId w:val="17"/>
              </w:numPr>
              <w:jc w:val="both"/>
            </w:pPr>
            <w:r>
              <w:t>w przypadku upomnień – od dnia przypisania zaległości podatkowej, zaksięgowania przypisu lub daty od której możliwe było prowadzenie działań windykacyjnych,</w:t>
            </w:r>
          </w:p>
          <w:p w:rsidR="000302D7" w:rsidRDefault="00216CFE">
            <w:pPr>
              <w:pStyle w:val="Akapitzlist"/>
              <w:widowControl w:val="0"/>
              <w:numPr>
                <w:ilvl w:val="0"/>
                <w:numId w:val="17"/>
              </w:numPr>
              <w:jc w:val="both"/>
            </w:pPr>
            <w:r>
              <w:t xml:space="preserve">w przypadku tytułów wykonawczych – od 14 dnia po doręczeniu upomnienia (7 dni na uregulowanie zobowiązania i 7 dni oczekiwania na wpłatę oraz jej zaksięgowanie). </w:t>
            </w:r>
          </w:p>
          <w:p w:rsidR="000302D7" w:rsidRDefault="00216CFE">
            <w:pPr>
              <w:pStyle w:val="Akapitzlist"/>
              <w:widowControl w:val="0"/>
              <w:numPr>
                <w:ilvl w:val="0"/>
                <w:numId w:val="16"/>
              </w:numPr>
              <w:jc w:val="both"/>
            </w:pPr>
            <w:r>
              <w:rPr>
                <w:b/>
              </w:rPr>
              <w:t>w 2020 r.</w:t>
            </w:r>
            <w:r>
              <w:t xml:space="preserve"> przyjęto jako dopuszczalne do </w:t>
            </w:r>
            <w:r>
              <w:rPr>
                <w:b/>
              </w:rPr>
              <w:t>30 dni</w:t>
            </w:r>
            <w:r>
              <w:t xml:space="preserve"> zwłoki w wystawianiu upomnień</w:t>
            </w:r>
            <w:r>
              <w:br/>
              <w:t>i tytułów wykonawczych licząc:</w:t>
            </w:r>
          </w:p>
          <w:p w:rsidR="000302D7" w:rsidRDefault="00216CFE">
            <w:pPr>
              <w:pStyle w:val="Akapitzlist"/>
              <w:widowControl w:val="0"/>
              <w:numPr>
                <w:ilvl w:val="0"/>
                <w:numId w:val="17"/>
              </w:numPr>
              <w:jc w:val="both"/>
            </w:pPr>
            <w:r>
              <w:t>w przypadku upomnień – od dnia przypisania zaległości podatkowej, zaksięgowania przypisu lub daty od której możliwe było prowadzenie działań windykacyjnych,</w:t>
            </w:r>
          </w:p>
          <w:p w:rsidR="000302D7" w:rsidRDefault="00216CFE">
            <w:pPr>
              <w:pStyle w:val="Akapitzlist"/>
              <w:widowControl w:val="0"/>
              <w:numPr>
                <w:ilvl w:val="0"/>
                <w:numId w:val="17"/>
              </w:numPr>
              <w:jc w:val="both"/>
            </w:pPr>
            <w:r>
              <w:t xml:space="preserve">w przypadku tytułów wykonawczych – od 14 dnia po doręczeniu upomnienia (7 dni na uregulowanie zobowiązania i 7 dni oczekiwania na wpłatę oraz jej zaksięgowanie). </w:t>
            </w:r>
          </w:p>
          <w:p w:rsidR="000302D7" w:rsidRDefault="000302D7">
            <w:pPr>
              <w:widowControl w:val="0"/>
              <w:jc w:val="both"/>
            </w:pPr>
          </w:p>
          <w:p w:rsidR="000302D7" w:rsidRDefault="00216CFE">
            <w:pPr>
              <w:widowControl w:val="0"/>
              <w:jc w:val="both"/>
            </w:pPr>
            <w:r>
              <w:t xml:space="preserve">W wyniku przeprowadzenia kontroli doraźnej stwierdzono, że spośród </w:t>
            </w:r>
            <w:r>
              <w:rPr>
                <w:b/>
              </w:rPr>
              <w:t xml:space="preserve">39 </w:t>
            </w:r>
            <w:r>
              <w:t>wytypowanych zaległości:</w:t>
            </w:r>
          </w:p>
          <w:p w:rsidR="000302D7" w:rsidRDefault="00216CFE">
            <w:pPr>
              <w:widowControl w:val="0"/>
              <w:numPr>
                <w:ilvl w:val="0"/>
                <w:numId w:val="6"/>
              </w:numPr>
              <w:spacing w:after="120"/>
              <w:ind w:left="714" w:hanging="357"/>
              <w:jc w:val="both"/>
            </w:pPr>
            <w:r>
              <w:rPr>
                <w:b/>
              </w:rPr>
              <w:t>w 17 przypadkach</w:t>
            </w:r>
            <w:r>
              <w:t xml:space="preserve"> dotyczących zaległości, których łączna wysokość przekraczała dziesięciokrotność kosztów upomnienia i w których nie były podjęte działania informacyjne (tzw. miękka egzekucja),</w:t>
            </w:r>
            <w:r>
              <w:rPr>
                <w:b/>
              </w:rPr>
              <w:t xml:space="preserve"> upomnienie zostało wystawione</w:t>
            </w:r>
            <w:r>
              <w:rPr>
                <w:b/>
              </w:rPr>
              <w:br/>
              <w:t xml:space="preserve">z opóźnieniem </w:t>
            </w:r>
            <w:r>
              <w:t xml:space="preserve">od 17 do 114 dni od dnia przypisania zaległości podatkowej/zaksięgowania przypisu lub daty od której możliwe było prowadzenie </w:t>
            </w:r>
            <w:r>
              <w:lastRenderedPageBreak/>
              <w:t xml:space="preserve">działań windykacyjnych. </w:t>
            </w:r>
            <w:r>
              <w:rPr>
                <w:sz w:val="20"/>
                <w:szCs w:val="20"/>
              </w:rPr>
              <w:t xml:space="preserve">Powyższe dotyczy przypadków o nr NIP: </w:t>
            </w:r>
            <w:r w:rsidR="00D71341">
              <w:rPr>
                <w:sz w:val="20"/>
                <w:szCs w:val="20"/>
              </w:rPr>
              <w:t>[...]</w:t>
            </w:r>
            <w:r>
              <w:rPr>
                <w:sz w:val="20"/>
                <w:szCs w:val="20"/>
              </w:rPr>
              <w:t xml:space="preserve">, </w:t>
            </w:r>
          </w:p>
          <w:p w:rsidR="000302D7" w:rsidRDefault="00216CFE">
            <w:pPr>
              <w:widowControl w:val="0"/>
              <w:numPr>
                <w:ilvl w:val="0"/>
                <w:numId w:val="6"/>
              </w:numPr>
              <w:spacing w:after="120"/>
              <w:ind w:left="714" w:hanging="357"/>
              <w:jc w:val="both"/>
            </w:pPr>
            <w:r>
              <w:rPr>
                <w:b/>
              </w:rPr>
              <w:t>w 23 przypadkach</w:t>
            </w:r>
            <w:r>
              <w:t xml:space="preserve"> dotyczących zaległości, których łączna wysokość przekraczała dziesięciokrotność kosztów upomnienia i w których nie były podejmowane działania informacyjne,</w:t>
            </w:r>
            <w:r>
              <w:rPr>
                <w:b/>
              </w:rPr>
              <w:t xml:space="preserve"> tytuł wykonawczy został wystawiony z opóźnieniem </w:t>
            </w:r>
            <w:r>
              <w:t xml:space="preserve">od 40 do 190 dni licząc od 14 dnia po doręczeniu upomnienia. </w:t>
            </w:r>
            <w:r>
              <w:rPr>
                <w:sz w:val="20"/>
                <w:szCs w:val="20"/>
              </w:rPr>
              <w:t xml:space="preserve">Powyższe dotyczy przypadków o nr NIP: </w:t>
            </w:r>
            <w:r w:rsidR="00D71341">
              <w:rPr>
                <w:sz w:val="20"/>
                <w:szCs w:val="20"/>
              </w:rPr>
              <w:t>[...]</w:t>
            </w:r>
            <w:r>
              <w:rPr>
                <w:sz w:val="20"/>
                <w:szCs w:val="20"/>
              </w:rPr>
              <w:t xml:space="preserve">,  (VAT za 1/2020)  </w:t>
            </w:r>
            <w:r>
              <w:t xml:space="preserve">W przypadkach tych nie stwierdzono jednocześnie, aby na przekroczenie ww. terminu do wystawiania tytułu wykonawczego wpływ miało opóźnienie otrzymania przez Kontrolowaną jednostkę zwrotnego potwierdzenia odbioru upomnienia. </w:t>
            </w:r>
          </w:p>
          <w:p w:rsidR="000302D7" w:rsidRDefault="00216CFE">
            <w:pPr>
              <w:widowControl w:val="0"/>
              <w:spacing w:after="120"/>
              <w:ind w:left="64"/>
              <w:jc w:val="both"/>
            </w:pPr>
            <w:r>
              <w:t>Jak wynika z wyjaśnień Kontrolowanej jednostki, do opóźnień w ww. obszarach dochodziło m.in. w skutek:</w:t>
            </w:r>
            <w:r>
              <w:rPr>
                <w:i/>
              </w:rPr>
              <w:t xml:space="preserve"> </w:t>
            </w:r>
            <w:r>
              <w:t xml:space="preserve">urlopu wypoczynkowego pracowników; zwolnień lekarskich pracowników; czasowego zmniejszenia obsady pracowników wystawiających upomnienia (oddelegowanie 1 z 3 pracowników do US w </w:t>
            </w:r>
            <w:r w:rsidR="00D71341">
              <w:t>O.</w:t>
            </w:r>
            <w:r>
              <w:t>); wprowadzenia pracy rotacyjnej; reorganizacji pracy komórki wierzycielskiej z uwagi na dużą liczbę składanych wniosków o ulgi w spłacie i wejście w życie ustaw „tarczy antykryzysowej”; skupienia się na telefonicznym upominaniu podatników (szczególnie działających w branżach dotkniętych ograniczeniami w prowadzeniu działalności gosp. – w związku z wytycznymi mówiącymi o empatycznym podejściu do przedsiębiorców) co skutkowało opóźnieniami</w:t>
            </w:r>
            <w:r>
              <w:br/>
              <w:t>w wystawianiu upomnień i tytułów wykonawczych w sprawach objętych kontrolą; okoliczności, że 1 z 3 osób odpowiedzialnych za podejmowanie czynności przedegzekucyjnych jest pracownikiem nowym, stale uczącym się; przeoczenia</w:t>
            </w:r>
            <w:r>
              <w:br/>
              <w:t>(w 1 przypadku).</w:t>
            </w:r>
          </w:p>
          <w:p w:rsidR="000302D7" w:rsidRDefault="00216CFE">
            <w:pPr>
              <w:widowControl w:val="0"/>
              <w:spacing w:after="60"/>
              <w:ind w:left="64"/>
              <w:jc w:val="both"/>
              <w:rPr>
                <w:sz w:val="8"/>
              </w:rPr>
            </w:pPr>
            <w:r>
              <w:t xml:space="preserve">Jednocześnie w </w:t>
            </w:r>
            <w:r>
              <w:rPr>
                <w:b/>
              </w:rPr>
              <w:t>8</w:t>
            </w:r>
            <w:r>
              <w:t xml:space="preserve"> </w:t>
            </w:r>
            <w:r>
              <w:rPr>
                <w:b/>
              </w:rPr>
              <w:t>przypadkach</w:t>
            </w:r>
            <w:r>
              <w:t xml:space="preserve"> (z 39 wytypowanych zaległości) stwierdzono</w:t>
            </w:r>
            <w:r>
              <w:rPr>
                <w:b/>
              </w:rPr>
              <w:t xml:space="preserve"> </w:t>
            </w:r>
            <w:r>
              <w:t xml:space="preserve">zarówno opóźnienie w wystawieniu upomnienia, jak i w wystawieniu tytułu wykonawczego. </w:t>
            </w:r>
            <w:r>
              <w:rPr>
                <w:sz w:val="20"/>
                <w:szCs w:val="20"/>
              </w:rPr>
              <w:t xml:space="preserve">Powyższe dotyczy przypadków o nr NIP: </w:t>
            </w:r>
            <w:r w:rsidR="004E2BEE">
              <w:t>[...]</w:t>
            </w:r>
          </w:p>
          <w:p w:rsidR="000302D7" w:rsidRDefault="00216CFE">
            <w:pPr>
              <w:widowControl w:val="0"/>
              <w:spacing w:after="20"/>
              <w:ind w:left="64"/>
              <w:jc w:val="both"/>
            </w:pPr>
            <w:r>
              <w:t>Dodatkowo w wyniku weryfikacji dokumentacji związanej z wystawianiem upomnień i tytułów wykonawczych na ww. zaległości z danymi wynikającymi z raportu z WHTAX stwierdzono błędy wprowadzenia dat doręczenia upomnień do bazy danych, tj.:</w:t>
            </w:r>
          </w:p>
          <w:p w:rsidR="000302D7" w:rsidRDefault="00216CFE">
            <w:pPr>
              <w:pStyle w:val="Teksttreci0"/>
              <w:widowControl w:val="0"/>
              <w:numPr>
                <w:ilvl w:val="0"/>
                <w:numId w:val="5"/>
              </w:numPr>
              <w:spacing w:after="20"/>
              <w:ind w:left="714" w:hanging="3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w 4 przypadkach </w:t>
            </w:r>
            <w:r>
              <w:rPr>
                <w:sz w:val="18"/>
                <w:szCs w:val="18"/>
              </w:rPr>
              <w:t>(</w:t>
            </w:r>
            <w:r>
              <w:rPr>
                <w:sz w:val="20"/>
                <w:szCs w:val="20"/>
              </w:rPr>
              <w:t xml:space="preserve">NIP: </w:t>
            </w:r>
            <w:r w:rsidR="009942DE">
              <w:rPr>
                <w:sz w:val="24"/>
              </w:rPr>
              <w:t>[...]</w:t>
            </w:r>
            <w:r>
              <w:rPr>
                <w:sz w:val="20"/>
                <w:szCs w:val="20"/>
              </w:rPr>
              <w:t>)</w:t>
            </w:r>
            <w:r>
              <w:rPr>
                <w:sz w:val="24"/>
              </w:rPr>
              <w:t xml:space="preserve"> wprowadzono datę doręczenia upomnienia wynikającą z treści art. 11 ustawy z dnia 24 lipca</w:t>
            </w:r>
            <w:r>
              <w:rPr>
                <w:sz w:val="24"/>
              </w:rPr>
              <w:br/>
              <w:t xml:space="preserve">2020 r. o zmianie ustawy o delegowaniu pracowników w ramach świadczenia usług oraz niektórych innych ustaw (Dz. U. z 2020 r. poz. 1423) potwierdzoną pismem Ministerstwa Finansów z dnia 15 września 2020 r. nr </w:t>
            </w:r>
            <w:r w:rsidR="004E2BEE">
              <w:rPr>
                <w:sz w:val="24"/>
              </w:rPr>
              <w:t>[...]</w:t>
            </w:r>
            <w:r>
              <w:rPr>
                <w:sz w:val="24"/>
              </w:rPr>
              <w:br/>
              <w:t xml:space="preserve">tj. 18.09.2020 r. </w:t>
            </w:r>
            <w:r>
              <w:rPr>
                <w:b/>
                <w:sz w:val="24"/>
              </w:rPr>
              <w:t>zamiast</w:t>
            </w:r>
            <w:r>
              <w:rPr>
                <w:sz w:val="24"/>
              </w:rPr>
              <w:t xml:space="preserve"> datę doręczenia ustaloną w trybie art. 44 § 4 ustawy</w:t>
            </w:r>
            <w:r>
              <w:rPr>
                <w:sz w:val="24"/>
              </w:rPr>
              <w:br/>
              <w:t>z dnia 14 czerwca 1960 r. Kodeks postępowania administracyjnego (t.j. Dz. U.</w:t>
            </w:r>
            <w:r>
              <w:rPr>
                <w:sz w:val="24"/>
              </w:rPr>
              <w:br/>
              <w:t>z 2020 r. poz. 256 z późn. zm.) na podstawie zwróconej przysyłki. Art. 98 ustawy</w:t>
            </w:r>
            <w:r>
              <w:rPr>
                <w:sz w:val="24"/>
              </w:rPr>
              <w:br/>
              <w:t>z dnia 16 kwietnia 2020 r. o szczególnych instrumentach wsparcia w związku</w:t>
            </w:r>
            <w:r>
              <w:rPr>
                <w:sz w:val="24"/>
              </w:rPr>
              <w:br/>
              <w:t xml:space="preserve">z rozprzestrzenianiem się wirusa SARS-CoV-2 (Dz. U. poz. 695 z późn. zm.) zabraniający uznawanie za doręczone przesyłek nieodebranych przez adresata obowiązywał dopiero od dnia </w:t>
            </w:r>
            <w:r w:rsidR="00D71341">
              <w:rPr>
                <w:sz w:val="24"/>
              </w:rPr>
              <w:t>[...]</w:t>
            </w:r>
            <w:r>
              <w:rPr>
                <w:sz w:val="24"/>
              </w:rPr>
              <w:t xml:space="preserve"> r.,</w:t>
            </w:r>
          </w:p>
          <w:p w:rsidR="000302D7" w:rsidRDefault="00216CFE">
            <w:pPr>
              <w:pStyle w:val="Teksttreci0"/>
              <w:widowControl w:val="0"/>
              <w:numPr>
                <w:ilvl w:val="0"/>
                <w:numId w:val="5"/>
              </w:numPr>
              <w:spacing w:after="20"/>
              <w:ind w:left="714" w:hanging="3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w 3 przypadkach </w:t>
            </w:r>
            <w:r>
              <w:rPr>
                <w:sz w:val="20"/>
                <w:szCs w:val="20"/>
              </w:rPr>
              <w:t xml:space="preserve">(NIP: </w:t>
            </w:r>
            <w:r w:rsidR="00D71341">
              <w:rPr>
                <w:sz w:val="20"/>
                <w:szCs w:val="20"/>
              </w:rPr>
              <w:t>[...]</w:t>
            </w:r>
            <w:r>
              <w:rPr>
                <w:sz w:val="20"/>
                <w:szCs w:val="20"/>
              </w:rPr>
              <w:t xml:space="preserve">,) </w:t>
            </w:r>
            <w:r>
              <w:rPr>
                <w:sz w:val="24"/>
              </w:rPr>
              <w:t xml:space="preserve">wprowadzono datę doręczenia upomnienia wynikającą ze zwrotnego potwierdzenia odbioru </w:t>
            </w:r>
            <w:r>
              <w:rPr>
                <w:b/>
                <w:sz w:val="24"/>
              </w:rPr>
              <w:t>zamiast</w:t>
            </w:r>
            <w:r>
              <w:rPr>
                <w:sz w:val="24"/>
              </w:rPr>
              <w:t xml:space="preserve"> datę wynikającą z przepisów art. 11 ww. ustawy z dnia 24 lipca 2020 r. o zmianie ustawy o delegowaniu pracowników w ramach świadczenia usług oraz niektórych innych ustaw potwierdzoną ww. pismem Ministerstwa Finansów z dnia 15 września 2020 r. tj. 18.09.2020 r.; w rezultacie powyższego w 2 przypadkach </w:t>
            </w:r>
            <w:r>
              <w:rPr>
                <w:sz w:val="20"/>
                <w:szCs w:val="20"/>
              </w:rPr>
              <w:t xml:space="preserve">(NIP: </w:t>
            </w:r>
            <w:r w:rsidR="00D71341">
              <w:rPr>
                <w:sz w:val="20"/>
                <w:szCs w:val="20"/>
              </w:rPr>
              <w:t>[...]</w:t>
            </w:r>
            <w:r>
              <w:rPr>
                <w:sz w:val="20"/>
                <w:szCs w:val="20"/>
              </w:rPr>
              <w:t>,)</w:t>
            </w:r>
            <w:r>
              <w:rPr>
                <w:sz w:val="24"/>
              </w:rPr>
              <w:t xml:space="preserve"> tytuł wykonawczy wystawiono przed dniem doręczenia upomnienia,</w:t>
            </w:r>
          </w:p>
          <w:p w:rsidR="000302D7" w:rsidRDefault="00216CFE">
            <w:pPr>
              <w:pStyle w:val="Teksttreci0"/>
              <w:widowControl w:val="0"/>
              <w:numPr>
                <w:ilvl w:val="0"/>
                <w:numId w:val="5"/>
              </w:numPr>
              <w:spacing w:after="20"/>
              <w:ind w:left="714" w:hanging="3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w 1 przypadku </w:t>
            </w:r>
            <w:r>
              <w:rPr>
                <w:sz w:val="20"/>
                <w:szCs w:val="20"/>
              </w:rPr>
              <w:t xml:space="preserve">(NIP: </w:t>
            </w:r>
            <w:r w:rsidR="00D71341">
              <w:rPr>
                <w:sz w:val="20"/>
                <w:szCs w:val="20"/>
              </w:rPr>
              <w:t>[...]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4"/>
              </w:rPr>
              <w:t>prawidłowo wprowadzono datę doręczenia upomnienia wynikającą z przepisów ww. art. 11 ustawy o zmianie ustawy</w:t>
            </w:r>
            <w:r>
              <w:rPr>
                <w:sz w:val="24"/>
              </w:rPr>
              <w:br/>
              <w:t xml:space="preserve">o delegowaniu pracowników (…) potwierdzoną ww. pismem Ministerstwa Finansów z dnia 15 września 2020 r. tj. 18.09.2020 r., niemniej tytuł wykonawczy wystawiono już w dniu </w:t>
            </w:r>
            <w:r w:rsidR="00D71341">
              <w:rPr>
                <w:sz w:val="24"/>
              </w:rPr>
              <w:t>[...]</w:t>
            </w:r>
            <w:r>
              <w:rPr>
                <w:sz w:val="24"/>
              </w:rPr>
              <w:t xml:space="preserve"> r., tj. </w:t>
            </w:r>
            <w:r>
              <w:rPr>
                <w:sz w:val="24"/>
              </w:rPr>
              <w:lastRenderedPageBreak/>
              <w:t>przed dniem doręczenia upomnienia,</w:t>
            </w:r>
          </w:p>
          <w:p w:rsidR="000302D7" w:rsidRDefault="00216CFE">
            <w:pPr>
              <w:pStyle w:val="Teksttreci0"/>
              <w:widowControl w:val="0"/>
              <w:numPr>
                <w:ilvl w:val="0"/>
                <w:numId w:val="5"/>
              </w:numPr>
              <w:spacing w:after="20"/>
              <w:ind w:left="714" w:hanging="3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w 2 przypadkach </w:t>
            </w:r>
            <w:r>
              <w:rPr>
                <w:sz w:val="20"/>
                <w:szCs w:val="20"/>
              </w:rPr>
              <w:t xml:space="preserve">(NIP: </w:t>
            </w:r>
            <w:r w:rsidR="00D71341">
              <w:rPr>
                <w:sz w:val="20"/>
                <w:szCs w:val="20"/>
              </w:rPr>
              <w:t>[...]</w:t>
            </w:r>
            <w:r>
              <w:rPr>
                <w:sz w:val="20"/>
                <w:szCs w:val="20"/>
              </w:rPr>
              <w:t>,  – VAT za 2/2020)</w:t>
            </w:r>
            <w:r>
              <w:rPr>
                <w:sz w:val="24"/>
              </w:rPr>
              <w:t xml:space="preserve"> błędnie obliczono/wprowadzono do bazy danych datę odbioru upomnień.</w:t>
            </w:r>
          </w:p>
          <w:p w:rsidR="000302D7" w:rsidRDefault="000302D7">
            <w:pPr>
              <w:widowControl w:val="0"/>
              <w:jc w:val="both"/>
              <w:rPr>
                <w:sz w:val="12"/>
              </w:rPr>
            </w:pPr>
          </w:p>
          <w:p w:rsidR="000302D7" w:rsidRDefault="00216CFE">
            <w:pPr>
              <w:widowControl w:val="0"/>
              <w:spacing w:after="120"/>
              <w:jc w:val="both"/>
            </w:pPr>
            <w:r>
              <w:t xml:space="preserve">Ponadto w toku kontroli ustalono, iż spośród </w:t>
            </w:r>
            <w:r>
              <w:rPr>
                <w:b/>
              </w:rPr>
              <w:t>7</w:t>
            </w:r>
            <w:r>
              <w:t xml:space="preserve"> zaległości, w stosunku do których według stanu na dzień 31.10.2020 r. nie wystawiono tytułów wykonawczych, w </w:t>
            </w:r>
            <w:r>
              <w:rPr>
                <w:b/>
              </w:rPr>
              <w:t>2</w:t>
            </w:r>
            <w:r>
              <w:t xml:space="preserve"> przypadkach</w:t>
            </w:r>
            <w:r>
              <w:br/>
              <w:t xml:space="preserve">z uzasadnionych powodów (tj. postępowanie ulgowe, ogłoszenie upadłości) nie wystawiono tytułów wykonawczych, natomiast w pozostałych </w:t>
            </w:r>
            <w:r>
              <w:rPr>
                <w:b/>
              </w:rPr>
              <w:t>5</w:t>
            </w:r>
            <w:r>
              <w:t xml:space="preserve"> przypadkach tytuły wykonawcze zostały wystawione po sporządzeniu raportu ze stanem na dzień 31.10.2020r. W związku z powyższym ww. 5 zaległości zbadano pod kątem terminowości wystawiania upomnień oraz tytułów wykonawczych, co znalazło odzwierciedlenie w przedstawionych wyżej ustaleniach.</w:t>
            </w:r>
          </w:p>
          <w:p w:rsidR="000302D7" w:rsidRDefault="00216CFE">
            <w:pPr>
              <w:widowControl w:val="0"/>
              <w:spacing w:after="120"/>
              <w:jc w:val="both"/>
            </w:pPr>
            <w:r>
              <w:t xml:space="preserve">W tym miejscu podkreślenia wymaga, że wyjaśnienia Kontrolowanej jednostki odnośnie możliwości powstania opóźnień w niezwłocznym wystawianiu upomnień i tytułów wykonawczych w początkowej fazie wdrażania nowego podsystemu POLTAX2BPLUS (styczeń-kwiecień 2020 r.) zostały uwzględnione, gdyż kontrolującym znana jest sytuacja, która występowała na etapie wprowadzania ww. systemu księgowego i związane z nią utrudnienia. Nadto kontrolujący uwzględnili czasowy (tj. od dnia 18.04.2020 r. do dnia 18.09.2020 r.) brak możliwości wystawiania tytułów wykonawczych w stosunku do zaległości, do których upomnienie nie zostało skutecznie doręczone Zobowiązanemu. Zgodnie z treścią art. 98 ww. ustawy z dnia 16 kwietnia 2020 r. o szczególnych instrumentach wsparcia w związku z rozprzestrzenianiem się wirusa SARS-CoV-2 nie można było uznać za doręczone przesyłek nieodebranych przez adresata. </w:t>
            </w:r>
          </w:p>
          <w:p w:rsidR="000302D7" w:rsidRDefault="000302D7">
            <w:pPr>
              <w:widowControl w:val="0"/>
              <w:jc w:val="both"/>
            </w:pPr>
          </w:p>
          <w:p w:rsidR="000302D7" w:rsidRDefault="00216CFE">
            <w:pPr>
              <w:widowControl w:val="0"/>
              <w:jc w:val="both"/>
            </w:pPr>
            <w:r>
              <w:t>Podsumowując, w Kontrolowanej jednostce w opisanych przypadkach doszło do opóźnień w niezwłocznym wystawianiu upomnień, o którym mowa w ww. przepisach rozporządzeń Ministra Finansów z dnia 30 grudnia 2015 r. i 23 lipca 2020 r. w sprawie postępowania wierzycieli należności pieniężnych, a także do opóźnień w niezwłocznym wystawianiu tytułów wykonawczych. Ustalono, iż:</w:t>
            </w:r>
          </w:p>
          <w:p w:rsidR="000302D7" w:rsidRDefault="00216CFE">
            <w:pPr>
              <w:widowControl w:val="0"/>
              <w:numPr>
                <w:ilvl w:val="0"/>
                <w:numId w:val="7"/>
              </w:numPr>
              <w:ind w:left="714" w:hanging="357"/>
              <w:jc w:val="both"/>
            </w:pPr>
            <w:r>
              <w:t>upomnienia wystawiono później niż w ciągu 14 lub 30 dni (zależnie od tego czy czynności przedegzekucyjne mogły zostać dokonane w 2019 r. czy w 2020 r.) od dnia przypisania zaległości podatkowej/zaksięgowania przypisu lub daty, od której możliwe było prowadzenie działań windykacyjnych (o ile nie zachodziły okoliczności niezależne od organ</w:t>
            </w:r>
            <w:bookmarkStart w:id="0" w:name="_GoBack"/>
            <w:bookmarkEnd w:id="0"/>
            <w:r>
              <w:t xml:space="preserve">u) – powyższe dotyczy </w:t>
            </w:r>
            <w:r>
              <w:rPr>
                <w:b/>
              </w:rPr>
              <w:t xml:space="preserve">17 przypadków </w:t>
            </w:r>
            <w:r>
              <w:t xml:space="preserve">(spośród 39 wytypowanych do kontroli zaległości), </w:t>
            </w:r>
            <w:r>
              <w:rPr>
                <w:b/>
              </w:rPr>
              <w:t xml:space="preserve">co stanowi 43,59% </w:t>
            </w:r>
            <w:r>
              <w:t>wytypowanych do kontroli zaległości;</w:t>
            </w:r>
          </w:p>
          <w:p w:rsidR="000302D7" w:rsidRDefault="00216CFE">
            <w:pPr>
              <w:widowControl w:val="0"/>
              <w:numPr>
                <w:ilvl w:val="0"/>
                <w:numId w:val="7"/>
              </w:numPr>
              <w:spacing w:after="120"/>
              <w:ind w:left="714" w:hanging="357"/>
              <w:jc w:val="both"/>
            </w:pPr>
            <w:r>
              <w:t xml:space="preserve">tytuły wykonawcze wystawiono później niż w ciągu 14 lub 30 dni (zależnie od tego czy czynności przedegzekucyjne mogły zostać dokonane w 2019 r. czy w 2020 r.) od 14 dnia po doręczeniu upomnienia (z uwagi na oczekiwanie 7 dni na dokonanie wpłaty przez zobowiązanego oraz 7 dni na zaksięgowanie ewentualnej wpłaty) – powyższe dotyczy </w:t>
            </w:r>
            <w:r>
              <w:rPr>
                <w:b/>
              </w:rPr>
              <w:t xml:space="preserve">23 przypadków </w:t>
            </w:r>
            <w:r>
              <w:t xml:space="preserve">(spośród 39 wytypowanych do kontroli zaległości), </w:t>
            </w:r>
            <w:r>
              <w:rPr>
                <w:b/>
              </w:rPr>
              <w:t xml:space="preserve">co stanowi 58,97% </w:t>
            </w:r>
            <w:r>
              <w:t>wytypowanych do kontroli zaległości.</w:t>
            </w:r>
          </w:p>
          <w:p w:rsidR="000302D7" w:rsidRDefault="00216CFE">
            <w:pPr>
              <w:widowControl w:val="0"/>
              <w:jc w:val="both"/>
            </w:pPr>
            <w:r>
              <w:t xml:space="preserve">Dodatkowo w </w:t>
            </w:r>
            <w:r>
              <w:rPr>
                <w:b/>
              </w:rPr>
              <w:t>8 przypadkach</w:t>
            </w:r>
            <w:r>
              <w:t xml:space="preserve"> (</w:t>
            </w:r>
            <w:r>
              <w:rPr>
                <w:b/>
              </w:rPr>
              <w:t>co stanowi</w:t>
            </w:r>
            <w:r>
              <w:t xml:space="preserve"> </w:t>
            </w:r>
            <w:r>
              <w:rPr>
                <w:b/>
              </w:rPr>
              <w:t>20,51%</w:t>
            </w:r>
            <w:r>
              <w:t xml:space="preserve"> wytypowanych do kontroli zaległości) dochodziło </w:t>
            </w:r>
            <w:r>
              <w:rPr>
                <w:b/>
              </w:rPr>
              <w:t>zarówno</w:t>
            </w:r>
            <w:r>
              <w:t xml:space="preserve"> do opóźnienia w wystawieniu upomnienia, jak i w wystawieniu tytułu wykonawczego, co kumulatywnie wpływało negatywnie na terminowość wystawiania tytułów wykonawczych. </w:t>
            </w:r>
          </w:p>
          <w:p w:rsidR="000302D7" w:rsidRDefault="00216CFE">
            <w:pPr>
              <w:widowControl w:val="0"/>
              <w:spacing w:after="240"/>
              <w:jc w:val="both"/>
            </w:pPr>
            <w:r>
              <w:t xml:space="preserve">Ponadto w trakcie kontroli stwierdzono w </w:t>
            </w:r>
            <w:r>
              <w:rPr>
                <w:b/>
              </w:rPr>
              <w:t>10 przypadkach</w:t>
            </w:r>
            <w:r>
              <w:t xml:space="preserve"> błędy we wprowadzeniu dat doręczenia upomnień do bazy danych oraz w rezultacie powyższego </w:t>
            </w:r>
            <w:r>
              <w:rPr>
                <w:b/>
              </w:rPr>
              <w:t>2 przypadki</w:t>
            </w:r>
            <w:r>
              <w:t xml:space="preserve"> wystawienia tytułu wykonawczego bez uprzedniego doręczenia upomnienia.</w:t>
            </w:r>
          </w:p>
          <w:p w:rsidR="000302D7" w:rsidRDefault="00216CFE">
            <w:pPr>
              <w:widowControl w:val="0"/>
              <w:jc w:val="both"/>
              <w:rPr>
                <w:b/>
                <w:i/>
              </w:rPr>
            </w:pPr>
            <w:r>
              <w:t xml:space="preserve">W konsekwencji stwierdzić należy, że pracownicy Działu Spraw Wierzycielskich w sposób nieprawidłowy (tj. z opóźnieniem) podejmowali czynności w ww. obszarze. Odpowiedzialność w ramach nadzoru nad pracą komórki ponosi Kierownik Działu Spraw Wierzycielskich oraz Naczelnik Urzędu, któremu bezpośrednio podlegał Dział Spraw </w:t>
            </w:r>
            <w:r>
              <w:lastRenderedPageBreak/>
              <w:t xml:space="preserve">Wierzycielskich. </w:t>
            </w:r>
          </w:p>
        </w:tc>
      </w:tr>
      <w:tr w:rsidR="000302D7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  <w:vAlign w:val="center"/>
          </w:tcPr>
          <w:p w:rsidR="000302D7" w:rsidRDefault="00216CFE">
            <w:pPr>
              <w:pStyle w:val="lewacz"/>
              <w:widowControl w:val="0"/>
            </w:pPr>
            <w:r>
              <w:rPr>
                <w:sz w:val="24"/>
                <w:szCs w:val="24"/>
              </w:rPr>
              <w:lastRenderedPageBreak/>
              <w:t>Ocena</w:t>
            </w:r>
          </w:p>
        </w:tc>
        <w:tc>
          <w:tcPr>
            <w:tcW w:w="9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02D7" w:rsidRDefault="000302D7">
            <w:pPr>
              <w:pStyle w:val="AN11tekst1"/>
              <w:widowControl w:val="0"/>
              <w:rPr>
                <w:rStyle w:val="AN11"/>
                <w:rFonts w:ascii="Times New Roman" w:hAnsi="Times New Roman" w:cs="Times New Roman"/>
                <w:i w:val="0"/>
                <w:sz w:val="2"/>
              </w:rPr>
            </w:pPr>
          </w:p>
          <w:p w:rsidR="000302D7" w:rsidRDefault="00216CFE">
            <w:pPr>
              <w:pStyle w:val="AN11tekst1"/>
              <w:widowControl w:val="0"/>
              <w:rPr>
                <w:sz w:val="24"/>
              </w:rPr>
            </w:pPr>
            <w:r>
              <w:rPr>
                <w:rStyle w:val="AN11"/>
                <w:rFonts w:cs="Times New Roman"/>
                <w:i w:val="0"/>
              </w:rPr>
              <w:t xml:space="preserve">Działania Naczelnika Trzeciego Urzędu Skarbowego w Gdańsku, jakie podejmował w zakresie terminowości wystawiania upomnień i tytułów wykonawczych dotyczących zaległości za 2019 i 2020 rok </w:t>
            </w:r>
            <w:r>
              <w:rPr>
                <w:rStyle w:val="Domylnaczcionkaakapitu1"/>
                <w:i w:val="0"/>
                <w:sz w:val="24"/>
              </w:rPr>
              <w:t>n</w:t>
            </w:r>
            <w:r>
              <w:rPr>
                <w:rStyle w:val="AN11"/>
                <w:rFonts w:cs="Times New Roman"/>
                <w:i w:val="0"/>
              </w:rPr>
              <w:t xml:space="preserve">ależy ocenić </w:t>
            </w:r>
            <w:r>
              <w:rPr>
                <w:rStyle w:val="AN11"/>
                <w:rFonts w:cs="Times New Roman"/>
                <w:b/>
                <w:bCs/>
                <w:i w:val="0"/>
              </w:rPr>
              <w:t>negatywnie.</w:t>
            </w:r>
            <w:r>
              <w:rPr>
                <w:rStyle w:val="AN11"/>
                <w:rFonts w:cs="Times New Roman"/>
                <w:i w:val="0"/>
              </w:rPr>
              <w:t xml:space="preserve"> </w:t>
            </w:r>
          </w:p>
        </w:tc>
      </w:tr>
    </w:tbl>
    <w:p w:rsidR="000302D7" w:rsidRDefault="000302D7">
      <w:pPr>
        <w:jc w:val="both"/>
      </w:pPr>
    </w:p>
    <w:p w:rsidR="000302D7" w:rsidRDefault="00216CFE">
      <w:pPr>
        <w:pStyle w:val="Nagwek1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Zalecenia </w:t>
      </w:r>
    </w:p>
    <w:tbl>
      <w:tblPr>
        <w:tblW w:w="10782" w:type="dxa"/>
        <w:tblInd w:w="-7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02"/>
        <w:gridCol w:w="9080"/>
      </w:tblGrid>
      <w:tr w:rsidR="000302D7"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</w:tcPr>
          <w:p w:rsidR="000302D7" w:rsidRDefault="00216CFE">
            <w:pPr>
              <w:widowControl w:val="0"/>
              <w:jc w:val="both"/>
            </w:pPr>
            <w:r>
              <w:rPr>
                <w:b/>
                <w:i/>
                <w:sz w:val="22"/>
                <w:szCs w:val="22"/>
              </w:rPr>
              <w:t>Zalecenia/</w:t>
            </w:r>
          </w:p>
          <w:p w:rsidR="000302D7" w:rsidRDefault="00216CFE">
            <w:pPr>
              <w:widowControl w:val="0"/>
              <w:jc w:val="both"/>
            </w:pPr>
            <w:r>
              <w:rPr>
                <w:b/>
                <w:i/>
                <w:sz w:val="22"/>
                <w:szCs w:val="22"/>
              </w:rPr>
              <w:t xml:space="preserve">Wnioski pokontrolne 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02D7" w:rsidRDefault="00216CFE">
            <w:pPr>
              <w:widowControl w:val="0"/>
              <w:jc w:val="both"/>
            </w:pPr>
            <w:r>
              <w:rPr>
                <w:rStyle w:val="AN12tekst"/>
              </w:rPr>
              <w:t>Przedstawiając powyższe ustalenia kontroli Dyrektor Izby Administracji Skarbowej w Gdańsku poleca:</w:t>
            </w:r>
          </w:p>
          <w:p w:rsidR="000302D7" w:rsidRDefault="00216CFE">
            <w:pPr>
              <w:widowControl w:val="0"/>
              <w:numPr>
                <w:ilvl w:val="0"/>
                <w:numId w:val="15"/>
              </w:numPr>
              <w:spacing w:after="57"/>
              <w:jc w:val="both"/>
            </w:pPr>
            <w:r>
              <w:t>przestrzeganie zapisów rozporządzenia Ministra Finansów z dnia 23 lipca 2020 r. w sprawie postępowania wierzycieli należności pieniężnych – ze szczególnym uwzględnieniem § 3 pkt 1 lit. a tego rozporządzenia, zgodnie z którymi niezwłocznie należy przesyłać zobowiązanemu upomnienie (o ile jest wymagane),</w:t>
            </w:r>
          </w:p>
          <w:p w:rsidR="000302D7" w:rsidRDefault="00216CFE">
            <w:pPr>
              <w:widowControl w:val="0"/>
              <w:numPr>
                <w:ilvl w:val="0"/>
                <w:numId w:val="15"/>
              </w:numPr>
              <w:spacing w:after="57"/>
              <w:jc w:val="both"/>
            </w:pPr>
            <w:r>
              <w:t>niezwłoczne (tj. do 14 dni od dnia doręczenia upomnienia – o ile nie zajdą inne przeszkody lub usprawiedliwione powody) wystawianie tytułów wykonawczych,</w:t>
            </w:r>
          </w:p>
          <w:p w:rsidR="000302D7" w:rsidRDefault="00216CFE">
            <w:pPr>
              <w:widowControl w:val="0"/>
              <w:numPr>
                <w:ilvl w:val="0"/>
                <w:numId w:val="15"/>
              </w:numPr>
              <w:spacing w:after="57"/>
              <w:jc w:val="both"/>
            </w:pPr>
            <w:r>
              <w:t xml:space="preserve">zobowiązanie pracowników do stosowania ww. rozporządzenia w zakresie terminowego (niezwłocznego) przesyłania upomnień, a także niezwłocznego wystawiania tytułów wykonawczych, </w:t>
            </w:r>
          </w:p>
          <w:p w:rsidR="000302D7" w:rsidRDefault="00216CFE">
            <w:pPr>
              <w:widowControl w:val="0"/>
              <w:numPr>
                <w:ilvl w:val="0"/>
                <w:numId w:val="15"/>
              </w:numPr>
              <w:spacing w:after="57"/>
              <w:jc w:val="both"/>
            </w:pPr>
            <w:r>
              <w:t>objąć bezpośrednim nadzorem terminowość wystawiania upomnień i tytułów wykonawczych.</w:t>
            </w:r>
          </w:p>
          <w:p w:rsidR="000302D7" w:rsidRDefault="000302D7">
            <w:pPr>
              <w:widowControl w:val="0"/>
              <w:spacing w:after="57"/>
              <w:jc w:val="both"/>
              <w:rPr>
                <w:sz w:val="14"/>
              </w:rPr>
            </w:pPr>
          </w:p>
          <w:p w:rsidR="000302D7" w:rsidRDefault="00216CFE">
            <w:pPr>
              <w:widowControl w:val="0"/>
              <w:spacing w:after="57"/>
              <w:jc w:val="both"/>
            </w:pPr>
            <w:r>
              <w:t>W nawiązaniu do przedstawionych powyżej ustaleń kontroli proszę o przedłożenie</w:t>
            </w:r>
            <w:r>
              <w:br/>
              <w:t>w terminie miesiąca od daty otrzymania niniejszego sprawozdania informacji o sposobie wykorzystania zaleceń / wykorzystania wniosków lub przyczynach ich niewykorzystania albo o innym sposobie usunięcia stwierdzonych nieprawidłowości.</w:t>
            </w:r>
          </w:p>
          <w:p w:rsidR="000302D7" w:rsidRDefault="00216CFE">
            <w:pPr>
              <w:widowControl w:val="0"/>
              <w:jc w:val="both"/>
            </w:pPr>
            <w:r>
              <w:rPr>
                <w:rStyle w:val="AN12tekst"/>
              </w:rPr>
              <w:t xml:space="preserve">Jednocześnie w związku z poleceniem Ministerstwa Finansów zobowiązuje się Kontrolowaną jednostkę do przekazania do tut. Izby Administracji Skarbowej informacji o rezultatach wdrożonych zaleceń pokontrolnych w terminie 9 miesięcy licząc od daty sporządzenia przez jednostkę kontrolowaną informacji o zrealizowaniu zaleceń pokontrolnych. </w:t>
            </w:r>
          </w:p>
          <w:p w:rsidR="000302D7" w:rsidRDefault="000302D7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0302D7" w:rsidRDefault="000302D7">
      <w:pPr>
        <w:jc w:val="both"/>
      </w:pPr>
    </w:p>
    <w:p w:rsidR="000302D7" w:rsidRDefault="00216CFE">
      <w:r>
        <w:rPr>
          <w:rStyle w:val="AN12tekst"/>
          <w:b/>
        </w:rPr>
        <w:t>V. Pozostałe informacje</w:t>
      </w:r>
    </w:p>
    <w:p w:rsidR="000302D7" w:rsidRDefault="000302D7">
      <w:pPr>
        <w:jc w:val="both"/>
      </w:pPr>
    </w:p>
    <w:tbl>
      <w:tblPr>
        <w:tblW w:w="10733" w:type="dxa"/>
        <w:tblInd w:w="-7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733"/>
      </w:tblGrid>
      <w:tr w:rsidR="000302D7">
        <w:tc>
          <w:tcPr>
            <w:tcW w:w="10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02D7" w:rsidRDefault="00216CFE">
            <w:pPr>
              <w:widowControl w:val="0"/>
              <w:jc w:val="both"/>
            </w:pPr>
            <w:r>
              <w:rPr>
                <w:rStyle w:val="AN12tekst"/>
                <w:lang w:eastAsia="pl-PL"/>
              </w:rPr>
              <w:t>Zgodnie z art. 52 ust. 5 ustawy o kontroli w administracji rządowej</w:t>
            </w:r>
            <w:r>
              <w:rPr>
                <w:rStyle w:val="AN12tekst"/>
                <w:i/>
                <w:lang w:eastAsia="pl-PL"/>
              </w:rPr>
              <w:t xml:space="preserve"> </w:t>
            </w:r>
            <w:r>
              <w:rPr>
                <w:i/>
              </w:rPr>
              <w:t xml:space="preserve">Kierownik jednostki kontrolowanej </w:t>
            </w:r>
            <w:r>
              <w:rPr>
                <w:i/>
              </w:rPr>
              <w:br/>
              <w:t>w terminie 3 dni roboczych od dnia otrzymania sprawozdania ma prawo przedstawić do niego stanowisko; nie wstrzymuje to realizacji ustaleń kontroli.</w:t>
            </w:r>
          </w:p>
        </w:tc>
      </w:tr>
    </w:tbl>
    <w:p w:rsidR="000302D7" w:rsidRDefault="000302D7"/>
    <w:p w:rsidR="000302D7" w:rsidRDefault="00216CFE">
      <w:pPr>
        <w:ind w:right="-709"/>
        <w:jc w:val="both"/>
      </w:pPr>
      <w:r>
        <w:rPr>
          <w:rStyle w:val="AN12tekst"/>
        </w:rPr>
        <w:t>Sprawozdanie zostało sporządzone w dwóch jednobrzmiących egzemplarzach; jeden dla Kierownika jednostki kontrolowanej, drugi do akt kontroli.</w:t>
      </w:r>
    </w:p>
    <w:p w:rsidR="000302D7" w:rsidRDefault="000302D7">
      <w:pPr>
        <w:jc w:val="both"/>
        <w:rPr>
          <w:sz w:val="10"/>
        </w:rPr>
      </w:pPr>
    </w:p>
    <w:p w:rsidR="000302D7" w:rsidRDefault="000302D7">
      <w:pPr>
        <w:jc w:val="both"/>
        <w:rPr>
          <w:sz w:val="10"/>
        </w:rPr>
      </w:pPr>
    </w:p>
    <w:p w:rsidR="000302D7" w:rsidRDefault="000302D7">
      <w:pPr>
        <w:jc w:val="both"/>
      </w:pPr>
    </w:p>
    <w:p w:rsidR="000302D7" w:rsidRDefault="000302D7"/>
    <w:p w:rsidR="000302D7" w:rsidRDefault="00D71341">
      <w:pPr>
        <w:jc w:val="both"/>
      </w:pPr>
      <w:r>
        <w:t>G.</w:t>
      </w:r>
      <w:r w:rsidR="00216CFE">
        <w:t xml:space="preserve">, dnia </w:t>
      </w:r>
      <w:r>
        <w:t>[...]</w:t>
      </w:r>
      <w:r w:rsidR="00216CFE">
        <w:t xml:space="preserve"> r. </w:t>
      </w:r>
    </w:p>
    <w:p w:rsidR="000302D7" w:rsidRDefault="000302D7">
      <w:pPr>
        <w:ind w:left="3544"/>
        <w:jc w:val="center"/>
        <w:rPr>
          <w:sz w:val="20"/>
        </w:rPr>
      </w:pPr>
    </w:p>
    <w:p w:rsidR="000302D7" w:rsidRDefault="000302D7">
      <w:pPr>
        <w:jc w:val="both"/>
        <w:rPr>
          <w:color w:val="0070C0"/>
        </w:rPr>
      </w:pPr>
    </w:p>
    <w:p w:rsidR="000302D7" w:rsidRDefault="00216CFE">
      <w:pPr>
        <w:numPr>
          <w:ilvl w:val="0"/>
          <w:numId w:val="18"/>
        </w:numPr>
        <w:tabs>
          <w:tab w:val="left" w:pos="6237"/>
        </w:tabs>
        <w:ind w:right="155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Dyrektor  </w:t>
      </w:r>
    </w:p>
    <w:p w:rsidR="000302D7" w:rsidRDefault="00216CFE">
      <w:pPr>
        <w:numPr>
          <w:ilvl w:val="0"/>
          <w:numId w:val="18"/>
        </w:num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Izby Administracji Skarbowej w Gdańsku</w:t>
      </w:r>
    </w:p>
    <w:p w:rsidR="000302D7" w:rsidRDefault="000302D7">
      <w:pPr>
        <w:numPr>
          <w:ilvl w:val="0"/>
          <w:numId w:val="18"/>
        </w:numPr>
        <w:jc w:val="right"/>
        <w:rPr>
          <w:b/>
          <w:sz w:val="22"/>
          <w:szCs w:val="22"/>
        </w:rPr>
      </w:pPr>
    </w:p>
    <w:p w:rsidR="000302D7" w:rsidRDefault="00216CFE">
      <w:pPr>
        <w:numPr>
          <w:ilvl w:val="0"/>
          <w:numId w:val="18"/>
        </w:numPr>
        <w:ind w:right="708"/>
        <w:jc w:val="right"/>
        <w:rPr>
          <w:b/>
          <w:color w:val="000000"/>
          <w:sz w:val="22"/>
          <w:szCs w:val="22"/>
          <w:lang w:eastAsia="pl-PL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Barbara Bętkowska - Cela</w:t>
      </w:r>
    </w:p>
    <w:p w:rsidR="000302D7" w:rsidRDefault="00216CFE">
      <w:pPr>
        <w:numPr>
          <w:ilvl w:val="0"/>
          <w:numId w:val="18"/>
        </w:numPr>
        <w:jc w:val="right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           </w:t>
      </w:r>
    </w:p>
    <w:p w:rsidR="000302D7" w:rsidRDefault="00216CFE">
      <w:pPr>
        <w:numPr>
          <w:ilvl w:val="0"/>
          <w:numId w:val="18"/>
        </w:numPr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/</w:t>
      </w:r>
      <w:r>
        <w:rPr>
          <w:i/>
          <w:sz w:val="22"/>
          <w:szCs w:val="22"/>
        </w:rPr>
        <w:t>podpisano kwalifikowanym podpisem elektronicznym</w:t>
      </w:r>
      <w:r>
        <w:rPr>
          <w:sz w:val="22"/>
          <w:szCs w:val="22"/>
        </w:rPr>
        <w:t>/</w:t>
      </w:r>
    </w:p>
    <w:p w:rsidR="00A50B91" w:rsidRDefault="00A50B91">
      <w:pPr>
        <w:pStyle w:val="Standard"/>
        <w:jc w:val="both"/>
        <w:rPr>
          <w:rFonts w:eastAsia="Times New Roman"/>
          <w:sz w:val="22"/>
          <w:szCs w:val="22"/>
          <w:lang w:bidi="ar-SA"/>
        </w:rPr>
      </w:pPr>
    </w:p>
    <w:p w:rsidR="00A50B91" w:rsidRDefault="00A50B91">
      <w:pPr>
        <w:pStyle w:val="Standard"/>
        <w:jc w:val="both"/>
        <w:rPr>
          <w:rFonts w:eastAsia="Times New Roman"/>
          <w:sz w:val="22"/>
          <w:szCs w:val="22"/>
          <w:lang w:bidi="ar-SA"/>
        </w:rPr>
      </w:pPr>
    </w:p>
    <w:p w:rsidR="00A50B91" w:rsidRDefault="00A50B91">
      <w:pPr>
        <w:pStyle w:val="Standard"/>
        <w:jc w:val="both"/>
        <w:rPr>
          <w:rFonts w:eastAsia="Times New Roman"/>
          <w:sz w:val="22"/>
          <w:szCs w:val="22"/>
          <w:lang w:bidi="ar-SA"/>
        </w:rPr>
      </w:pPr>
    </w:p>
    <w:p w:rsidR="00A50B91" w:rsidRDefault="00A50B91">
      <w:pPr>
        <w:pStyle w:val="Standard"/>
        <w:jc w:val="both"/>
        <w:rPr>
          <w:rFonts w:eastAsia="Times New Roman"/>
          <w:sz w:val="22"/>
          <w:szCs w:val="22"/>
          <w:lang w:bidi="ar-SA"/>
        </w:rPr>
      </w:pPr>
    </w:p>
    <w:p w:rsidR="00A50B91" w:rsidRDefault="00A50B91">
      <w:pPr>
        <w:pStyle w:val="Standard"/>
        <w:jc w:val="both"/>
        <w:rPr>
          <w:rFonts w:eastAsia="Times New Roman"/>
          <w:sz w:val="22"/>
          <w:szCs w:val="22"/>
          <w:lang w:bidi="ar-SA"/>
        </w:rPr>
      </w:pPr>
    </w:p>
    <w:p w:rsidR="00A50B91" w:rsidRPr="00A50B91" w:rsidRDefault="00A50B91" w:rsidP="00A50B91">
      <w:pPr>
        <w:jc w:val="both"/>
        <w:rPr>
          <w:sz w:val="20"/>
          <w:szCs w:val="20"/>
        </w:rPr>
      </w:pPr>
      <w:r w:rsidRPr="00A50B91">
        <w:rPr>
          <w:sz w:val="20"/>
          <w:szCs w:val="20"/>
        </w:rPr>
        <w:t>Obszar oznaczony [...] identyfikuje zakres wyłączenia jawności, o którym mowa w art. 8 ust. 5 ustawy o dostępie do informacji publicznej (Dz.U. z 2019 r., poz. 1429 t.j.)</w:t>
      </w:r>
    </w:p>
    <w:p w:rsidR="00A50B91" w:rsidRPr="00A50B91" w:rsidRDefault="00A50B91" w:rsidP="00A50B91">
      <w:pPr>
        <w:jc w:val="both"/>
        <w:rPr>
          <w:sz w:val="20"/>
          <w:szCs w:val="20"/>
        </w:rPr>
      </w:pPr>
      <w:r w:rsidRPr="00A50B91">
        <w:rPr>
          <w:sz w:val="20"/>
          <w:szCs w:val="20"/>
        </w:rPr>
        <w:t>We fragmentach oznaczonych [...] dokonano wyłączenia jawności w zakresie tajemnicy skarbowej</w:t>
      </w:r>
      <w:r>
        <w:rPr>
          <w:sz w:val="20"/>
          <w:szCs w:val="20"/>
        </w:rPr>
        <w:t xml:space="preserve"> i ochrony danych osobowych</w:t>
      </w:r>
      <w:r w:rsidRPr="00A50B91">
        <w:rPr>
          <w:sz w:val="20"/>
          <w:szCs w:val="20"/>
        </w:rPr>
        <w:t xml:space="preserve"> na podstawie art. 5 ust. 1 ustawy z dnia 6 września 2001 roku o dostępie do informacji publicznej (Dz.U. z 2019 r., poz. 1429 t.j.)</w:t>
      </w:r>
    </w:p>
    <w:p w:rsidR="00A50B91" w:rsidRPr="00A50B91" w:rsidRDefault="00A50B91" w:rsidP="00A50B91">
      <w:pPr>
        <w:jc w:val="both"/>
        <w:rPr>
          <w:sz w:val="20"/>
          <w:szCs w:val="20"/>
        </w:rPr>
      </w:pPr>
      <w:r w:rsidRPr="00A50B91">
        <w:rPr>
          <w:sz w:val="20"/>
          <w:szCs w:val="20"/>
        </w:rPr>
        <w:t>Wyłączenia jawności dokonała: Monika Kwiecińska – Inspektor ds. ochrony danych osobowych i innych informacji prawnie chronionych.</w:t>
      </w:r>
    </w:p>
    <w:p w:rsidR="00A50B91" w:rsidRDefault="00A50B91">
      <w:pPr>
        <w:pStyle w:val="Standard"/>
        <w:jc w:val="both"/>
        <w:rPr>
          <w:sz w:val="22"/>
          <w:szCs w:val="22"/>
        </w:rPr>
      </w:pPr>
    </w:p>
    <w:p w:rsidR="000302D7" w:rsidRDefault="000302D7" w:rsidP="00A50B91"/>
    <w:sectPr w:rsidR="000302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0" w:right="1417" w:bottom="1417" w:left="1417" w:header="283" w:footer="283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91" w:rsidRDefault="00A50B91">
      <w:r>
        <w:separator/>
      </w:r>
    </w:p>
  </w:endnote>
  <w:endnote w:type="continuationSeparator" w:id="0">
    <w:p w:rsidR="00A50B91" w:rsidRDefault="00A5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91" w:rsidRDefault="00A50B91">
    <w:pPr>
      <w:pStyle w:val="Stopka1"/>
      <w:jc w:val="both"/>
      <w:rPr>
        <w:sz w:val="22"/>
      </w:rPr>
    </w:pPr>
    <w:r>
      <w:rPr>
        <w:sz w:val="19"/>
        <w:szCs w:val="21"/>
      </w:rPr>
      <w:t>załącznik nr 21 do instrukcji I-086/2</w:t>
    </w:r>
  </w:p>
  <w:p w:rsidR="00A50B91" w:rsidRDefault="00A50B91">
    <w:pPr>
      <w:pStyle w:val="Nagwek1"/>
    </w:pPr>
    <w:r>
      <w:rPr>
        <w:sz w:val="19"/>
        <w:szCs w:val="21"/>
      </w:rPr>
      <w:t>F-393/2 - Sprawozdanie z kontroli prowadzonej w urzędach skarbowych woj. pomorskiego</w:t>
    </w:r>
    <w:r>
      <w:rPr>
        <w:sz w:val="19"/>
        <w:szCs w:val="21"/>
      </w:rPr>
      <w:br/>
      <w:t xml:space="preserve">oraz w Pomorskim Urzędzie Celno–Skarbowym w Gdyni </w:t>
    </w:r>
    <w:r>
      <w:rPr>
        <w:sz w:val="19"/>
        <w:szCs w:val="21"/>
      </w:rPr>
      <w:tab/>
    </w:r>
    <w:r>
      <w:tab/>
      <w:t xml:space="preserve"> </w:t>
    </w:r>
    <w:r>
      <w:rPr>
        <w:sz w:val="22"/>
      </w:rPr>
      <w:t xml:space="preserve">Strona </w:t>
    </w:r>
    <w:r>
      <w:rPr>
        <w:bCs/>
        <w:sz w:val="22"/>
      </w:rPr>
      <w:fldChar w:fldCharType="begin"/>
    </w:r>
    <w:r>
      <w:instrText>PAGE</w:instrText>
    </w:r>
    <w:r>
      <w:fldChar w:fldCharType="separate"/>
    </w:r>
    <w:r w:rsidR="00153200">
      <w:rPr>
        <w:noProof/>
      </w:rPr>
      <w:t>7</w:t>
    </w:r>
    <w:r>
      <w:fldChar w:fldCharType="end"/>
    </w:r>
    <w:r>
      <w:rPr>
        <w:sz w:val="22"/>
      </w:rPr>
      <w:t xml:space="preserve"> z </w:t>
    </w:r>
    <w:r>
      <w:rPr>
        <w:bCs/>
        <w:sz w:val="22"/>
      </w:rPr>
      <w:fldChar w:fldCharType="begin"/>
    </w:r>
    <w:r>
      <w:instrText>NUMPAGES</w:instrText>
    </w:r>
    <w:r>
      <w:fldChar w:fldCharType="separate"/>
    </w:r>
    <w:r w:rsidR="00153200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91" w:rsidRDefault="00A50B91">
    <w:pPr>
      <w:pStyle w:val="Stopka1"/>
    </w:pPr>
    <w:r>
      <w:rPr>
        <w:sz w:val="21"/>
        <w:szCs w:val="21"/>
      </w:rPr>
      <w:t>F-393/2 - Sprawozdanie z kontroli prowadzonej w urzędach skarbowych woj. pomorskiego</w:t>
    </w:r>
    <w:r>
      <w:rPr>
        <w:sz w:val="21"/>
        <w:szCs w:val="21"/>
      </w:rPr>
      <w:br/>
      <w:t>oraz w Pomorskim Urzędzie Celno–Skarbowym w Gdyni</w:t>
    </w:r>
  </w:p>
  <w:p w:rsidR="00A50B91" w:rsidRDefault="00A50B91">
    <w:pPr>
      <w:pStyle w:val="Stopka1"/>
      <w:jc w:val="both"/>
      <w:rPr>
        <w:sz w:val="21"/>
        <w:szCs w:val="21"/>
      </w:rPr>
    </w:pPr>
  </w:p>
  <w:p w:rsidR="00A50B91" w:rsidRDefault="00A50B91">
    <w:pPr>
      <w:pStyle w:val="Stopka1"/>
      <w:jc w:val="both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91" w:rsidRDefault="00A50B91">
      <w:r>
        <w:separator/>
      </w:r>
    </w:p>
  </w:footnote>
  <w:footnote w:type="continuationSeparator" w:id="0">
    <w:p w:rsidR="00A50B91" w:rsidRDefault="00A50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91" w:rsidRDefault="00A50B91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91" w:rsidRDefault="00A50B91">
    <w:pPr>
      <w:pStyle w:val="Nagwek1"/>
      <w:tabs>
        <w:tab w:val="right" w:pos="7797"/>
      </w:tabs>
      <w:jc w:val="right"/>
    </w:pPr>
    <w:r>
      <w:rPr>
        <w:rFonts w:ascii="Arial" w:hAnsi="Arial" w:cs="Arial"/>
        <w:sz w:val="20"/>
        <w:szCs w:val="20"/>
      </w:rPr>
      <w:tab/>
    </w:r>
    <w:r>
      <w:t>załącznik nr 21</w:t>
    </w:r>
    <w:r>
      <w:br/>
      <w:t xml:space="preserve"> </w:t>
    </w:r>
    <w:r>
      <w:tab/>
    </w:r>
    <w:r>
      <w:tab/>
      <w:t>do instrukcji I-086/2</w:t>
    </w:r>
  </w:p>
  <w:p w:rsidR="00A50B91" w:rsidRDefault="00A50B91">
    <w:r>
      <w:rPr>
        <w:noProof/>
        <w:lang w:eastAsia="pl-PL"/>
      </w:rPr>
      <w:drawing>
        <wp:inline distT="0" distB="0" distL="0" distR="0">
          <wp:extent cx="118110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5" t="-597" r="-365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0FDE"/>
    <w:multiLevelType w:val="multilevel"/>
    <w:tmpl w:val="C75E01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DAB"/>
    <w:multiLevelType w:val="multilevel"/>
    <w:tmpl w:val="839EEA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01044E"/>
    <w:multiLevelType w:val="multilevel"/>
    <w:tmpl w:val="8446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83972E1"/>
    <w:multiLevelType w:val="multilevel"/>
    <w:tmpl w:val="C4241A46"/>
    <w:lvl w:ilvl="0">
      <w:start w:val="1"/>
      <w:numFmt w:val="decimal"/>
      <w:lvlText w:val="%1)"/>
      <w:lvlJc w:val="left"/>
      <w:pPr>
        <w:ind w:left="92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1E59"/>
    <w:multiLevelType w:val="multilevel"/>
    <w:tmpl w:val="CF28C252"/>
    <w:lvl w:ilvl="0">
      <w:start w:val="1"/>
      <w:numFmt w:val="lowerLetter"/>
      <w:lvlText w:val="%1)"/>
      <w:lvlJc w:val="left"/>
      <w:pPr>
        <w:ind w:left="1208" w:hanging="360"/>
      </w:pPr>
    </w:lvl>
    <w:lvl w:ilvl="1">
      <w:start w:val="1"/>
      <w:numFmt w:val="lowerLetter"/>
      <w:lvlText w:val="%2."/>
      <w:lvlJc w:val="left"/>
      <w:pPr>
        <w:ind w:left="1928" w:hanging="360"/>
      </w:pPr>
    </w:lvl>
    <w:lvl w:ilvl="2">
      <w:start w:val="1"/>
      <w:numFmt w:val="lowerRoman"/>
      <w:lvlText w:val="%3."/>
      <w:lvlJc w:val="right"/>
      <w:pPr>
        <w:ind w:left="2648" w:hanging="180"/>
      </w:pPr>
    </w:lvl>
    <w:lvl w:ilvl="3">
      <w:start w:val="1"/>
      <w:numFmt w:val="decimal"/>
      <w:lvlText w:val="%4."/>
      <w:lvlJc w:val="left"/>
      <w:pPr>
        <w:ind w:left="3368" w:hanging="360"/>
      </w:pPr>
    </w:lvl>
    <w:lvl w:ilvl="4">
      <w:start w:val="1"/>
      <w:numFmt w:val="lowerLetter"/>
      <w:lvlText w:val="%5."/>
      <w:lvlJc w:val="left"/>
      <w:pPr>
        <w:ind w:left="4088" w:hanging="360"/>
      </w:pPr>
    </w:lvl>
    <w:lvl w:ilvl="5">
      <w:start w:val="1"/>
      <w:numFmt w:val="lowerRoman"/>
      <w:lvlText w:val="%6."/>
      <w:lvlJc w:val="right"/>
      <w:pPr>
        <w:ind w:left="4808" w:hanging="180"/>
      </w:pPr>
    </w:lvl>
    <w:lvl w:ilvl="6">
      <w:start w:val="1"/>
      <w:numFmt w:val="decimal"/>
      <w:lvlText w:val="%7."/>
      <w:lvlJc w:val="left"/>
      <w:pPr>
        <w:ind w:left="5528" w:hanging="360"/>
      </w:pPr>
    </w:lvl>
    <w:lvl w:ilvl="7">
      <w:start w:val="1"/>
      <w:numFmt w:val="lowerLetter"/>
      <w:lvlText w:val="%8."/>
      <w:lvlJc w:val="left"/>
      <w:pPr>
        <w:ind w:left="6248" w:hanging="360"/>
      </w:pPr>
    </w:lvl>
    <w:lvl w:ilvl="8">
      <w:start w:val="1"/>
      <w:numFmt w:val="lowerRoman"/>
      <w:lvlText w:val="%9."/>
      <w:lvlJc w:val="right"/>
      <w:pPr>
        <w:ind w:left="6968" w:hanging="180"/>
      </w:pPr>
    </w:lvl>
  </w:abstractNum>
  <w:abstractNum w:abstractNumId="5" w15:restartNumberingAfterBreak="0">
    <w:nsid w:val="1AE02852"/>
    <w:multiLevelType w:val="multilevel"/>
    <w:tmpl w:val="FEA80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321CC4"/>
    <w:multiLevelType w:val="multilevel"/>
    <w:tmpl w:val="881E7220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4AC0642"/>
    <w:multiLevelType w:val="multilevel"/>
    <w:tmpl w:val="8DCC717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2E6810CB"/>
    <w:multiLevelType w:val="multilevel"/>
    <w:tmpl w:val="EA80E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482B0B"/>
    <w:multiLevelType w:val="multilevel"/>
    <w:tmpl w:val="E6FE424A"/>
    <w:lvl w:ilvl="0">
      <w:start w:val="1"/>
      <w:numFmt w:val="lowerLetter"/>
      <w:lvlText w:val="%1)"/>
      <w:lvlJc w:val="left"/>
      <w:pPr>
        <w:ind w:left="1208" w:hanging="360"/>
      </w:pPr>
    </w:lvl>
    <w:lvl w:ilvl="1">
      <w:start w:val="1"/>
      <w:numFmt w:val="lowerLetter"/>
      <w:lvlText w:val="%2."/>
      <w:lvlJc w:val="left"/>
      <w:pPr>
        <w:ind w:left="1928" w:hanging="360"/>
      </w:pPr>
    </w:lvl>
    <w:lvl w:ilvl="2">
      <w:start w:val="1"/>
      <w:numFmt w:val="lowerRoman"/>
      <w:lvlText w:val="%3."/>
      <w:lvlJc w:val="right"/>
      <w:pPr>
        <w:ind w:left="2648" w:hanging="180"/>
      </w:pPr>
    </w:lvl>
    <w:lvl w:ilvl="3">
      <w:start w:val="1"/>
      <w:numFmt w:val="decimal"/>
      <w:lvlText w:val="%4."/>
      <w:lvlJc w:val="left"/>
      <w:pPr>
        <w:ind w:left="3368" w:hanging="360"/>
      </w:pPr>
    </w:lvl>
    <w:lvl w:ilvl="4">
      <w:start w:val="1"/>
      <w:numFmt w:val="lowerLetter"/>
      <w:lvlText w:val="%5."/>
      <w:lvlJc w:val="left"/>
      <w:pPr>
        <w:ind w:left="4088" w:hanging="360"/>
      </w:pPr>
    </w:lvl>
    <w:lvl w:ilvl="5">
      <w:start w:val="1"/>
      <w:numFmt w:val="lowerRoman"/>
      <w:lvlText w:val="%6."/>
      <w:lvlJc w:val="right"/>
      <w:pPr>
        <w:ind w:left="4808" w:hanging="180"/>
      </w:pPr>
    </w:lvl>
    <w:lvl w:ilvl="6">
      <w:start w:val="1"/>
      <w:numFmt w:val="decimal"/>
      <w:lvlText w:val="%7."/>
      <w:lvlJc w:val="left"/>
      <w:pPr>
        <w:ind w:left="5528" w:hanging="360"/>
      </w:pPr>
    </w:lvl>
    <w:lvl w:ilvl="7">
      <w:start w:val="1"/>
      <w:numFmt w:val="lowerLetter"/>
      <w:lvlText w:val="%8."/>
      <w:lvlJc w:val="left"/>
      <w:pPr>
        <w:ind w:left="6248" w:hanging="360"/>
      </w:pPr>
    </w:lvl>
    <w:lvl w:ilvl="8">
      <w:start w:val="1"/>
      <w:numFmt w:val="lowerRoman"/>
      <w:lvlText w:val="%9."/>
      <w:lvlJc w:val="right"/>
      <w:pPr>
        <w:ind w:left="6968" w:hanging="180"/>
      </w:pPr>
    </w:lvl>
  </w:abstractNum>
  <w:abstractNum w:abstractNumId="10" w15:restartNumberingAfterBreak="0">
    <w:nsid w:val="44D85C00"/>
    <w:multiLevelType w:val="multilevel"/>
    <w:tmpl w:val="81D89924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79C7BA5"/>
    <w:multiLevelType w:val="multilevel"/>
    <w:tmpl w:val="6B262B96"/>
    <w:lvl w:ilvl="0">
      <w:start w:val="1"/>
      <w:numFmt w:val="decimal"/>
      <w:lvlText w:val="%1)"/>
      <w:lvlJc w:val="left"/>
      <w:pPr>
        <w:ind w:left="924" w:hanging="360"/>
      </w:pPr>
    </w:lvl>
    <w:lvl w:ilvl="1">
      <w:start w:val="1"/>
      <w:numFmt w:val="lowerLetter"/>
      <w:lvlText w:val="%2."/>
      <w:lvlJc w:val="left"/>
      <w:pPr>
        <w:ind w:left="1644" w:hanging="360"/>
      </w:pPr>
    </w:lvl>
    <w:lvl w:ilvl="2">
      <w:start w:val="1"/>
      <w:numFmt w:val="lowerRoman"/>
      <w:lvlText w:val="%3."/>
      <w:lvlJc w:val="right"/>
      <w:pPr>
        <w:ind w:left="2364" w:hanging="180"/>
      </w:pPr>
    </w:lvl>
    <w:lvl w:ilvl="3">
      <w:start w:val="1"/>
      <w:numFmt w:val="decimal"/>
      <w:lvlText w:val="%4."/>
      <w:lvlJc w:val="left"/>
      <w:pPr>
        <w:ind w:left="3084" w:hanging="360"/>
      </w:pPr>
    </w:lvl>
    <w:lvl w:ilvl="4">
      <w:start w:val="1"/>
      <w:numFmt w:val="lowerLetter"/>
      <w:lvlText w:val="%5."/>
      <w:lvlJc w:val="left"/>
      <w:pPr>
        <w:ind w:left="3804" w:hanging="360"/>
      </w:pPr>
    </w:lvl>
    <w:lvl w:ilvl="5">
      <w:start w:val="1"/>
      <w:numFmt w:val="lowerRoman"/>
      <w:lvlText w:val="%6."/>
      <w:lvlJc w:val="right"/>
      <w:pPr>
        <w:ind w:left="4524" w:hanging="180"/>
      </w:pPr>
    </w:lvl>
    <w:lvl w:ilvl="6">
      <w:start w:val="1"/>
      <w:numFmt w:val="decimal"/>
      <w:lvlText w:val="%7."/>
      <w:lvlJc w:val="left"/>
      <w:pPr>
        <w:ind w:left="5244" w:hanging="360"/>
      </w:pPr>
    </w:lvl>
    <w:lvl w:ilvl="7">
      <w:start w:val="1"/>
      <w:numFmt w:val="lowerLetter"/>
      <w:lvlText w:val="%8."/>
      <w:lvlJc w:val="left"/>
      <w:pPr>
        <w:ind w:left="5964" w:hanging="360"/>
      </w:pPr>
    </w:lvl>
    <w:lvl w:ilvl="8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4BF36A3C"/>
    <w:multiLevelType w:val="multilevel"/>
    <w:tmpl w:val="AFF02D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16960CE"/>
    <w:multiLevelType w:val="multilevel"/>
    <w:tmpl w:val="F8B86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171FB0"/>
    <w:multiLevelType w:val="multilevel"/>
    <w:tmpl w:val="C776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FD0126"/>
    <w:multiLevelType w:val="multilevel"/>
    <w:tmpl w:val="556A5C2A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FE4E82"/>
    <w:multiLevelType w:val="multilevel"/>
    <w:tmpl w:val="17BA94D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7E32264"/>
    <w:multiLevelType w:val="multilevel"/>
    <w:tmpl w:val="0AB64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4"/>
  </w:num>
  <w:num w:numId="5">
    <w:abstractNumId w:val="13"/>
  </w:num>
  <w:num w:numId="6">
    <w:abstractNumId w:val="17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D7"/>
    <w:rsid w:val="000302D7"/>
    <w:rsid w:val="00153200"/>
    <w:rsid w:val="00216CFE"/>
    <w:rsid w:val="004E2BEE"/>
    <w:rsid w:val="005249F3"/>
    <w:rsid w:val="00702630"/>
    <w:rsid w:val="00935BFE"/>
    <w:rsid w:val="009942DE"/>
    <w:rsid w:val="00A50B91"/>
    <w:rsid w:val="00D7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9339D-E369-4CC4-9F1F-25BBE80B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1ED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agwek21"/>
    <w:qFormat/>
    <w:rsid w:val="00B801ED"/>
    <w:pPr>
      <w:keepNext/>
      <w:keepLines/>
      <w:numPr>
        <w:numId w:val="1"/>
      </w:numPr>
      <w:tabs>
        <w:tab w:val="left" w:pos="284"/>
      </w:tabs>
      <w:spacing w:before="240" w:after="120"/>
      <w:jc w:val="both"/>
      <w:outlineLvl w:val="0"/>
    </w:pPr>
    <w:rPr>
      <w:rFonts w:ascii="Times" w:hAnsi="Times" w:cs="Times"/>
      <w:b/>
    </w:rPr>
  </w:style>
  <w:style w:type="paragraph" w:customStyle="1" w:styleId="Nagwek21">
    <w:name w:val="Nagłówek 21"/>
    <w:basedOn w:val="Normalny"/>
    <w:qFormat/>
    <w:rsid w:val="00B801E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WW8Num1z0">
    <w:name w:val="WW8Num1z0"/>
    <w:qFormat/>
    <w:rsid w:val="00B801ED"/>
  </w:style>
  <w:style w:type="character" w:customStyle="1" w:styleId="WW8Num1z1">
    <w:name w:val="WW8Num1z1"/>
    <w:qFormat/>
    <w:rsid w:val="00B801ED"/>
  </w:style>
  <w:style w:type="character" w:customStyle="1" w:styleId="WW8Num1z2">
    <w:name w:val="WW8Num1z2"/>
    <w:qFormat/>
    <w:rsid w:val="00B801ED"/>
  </w:style>
  <w:style w:type="character" w:customStyle="1" w:styleId="WW8Num1z3">
    <w:name w:val="WW8Num1z3"/>
    <w:qFormat/>
    <w:rsid w:val="00B801ED"/>
  </w:style>
  <w:style w:type="character" w:customStyle="1" w:styleId="WW8Num1z4">
    <w:name w:val="WW8Num1z4"/>
    <w:qFormat/>
    <w:rsid w:val="00B801ED"/>
  </w:style>
  <w:style w:type="character" w:customStyle="1" w:styleId="WW8Num1z5">
    <w:name w:val="WW8Num1z5"/>
    <w:qFormat/>
    <w:rsid w:val="00B801ED"/>
  </w:style>
  <w:style w:type="character" w:customStyle="1" w:styleId="WW8Num1z6">
    <w:name w:val="WW8Num1z6"/>
    <w:qFormat/>
    <w:rsid w:val="00B801ED"/>
  </w:style>
  <w:style w:type="character" w:customStyle="1" w:styleId="WW8Num1z7">
    <w:name w:val="WW8Num1z7"/>
    <w:qFormat/>
    <w:rsid w:val="00B801ED"/>
  </w:style>
  <w:style w:type="character" w:customStyle="1" w:styleId="WW8Num1z8">
    <w:name w:val="WW8Num1z8"/>
    <w:qFormat/>
    <w:rsid w:val="00B801ED"/>
  </w:style>
  <w:style w:type="character" w:customStyle="1" w:styleId="WW8Num2z0">
    <w:name w:val="WW8Num2z0"/>
    <w:qFormat/>
    <w:rsid w:val="00B801ED"/>
    <w:rPr>
      <w:i/>
      <w:color w:val="FF0000"/>
    </w:rPr>
  </w:style>
  <w:style w:type="character" w:customStyle="1" w:styleId="WW8Num3z0">
    <w:name w:val="WW8Num3z0"/>
    <w:qFormat/>
    <w:rsid w:val="00B801ED"/>
  </w:style>
  <w:style w:type="character" w:customStyle="1" w:styleId="WW8Num4z0">
    <w:name w:val="WW8Num4z0"/>
    <w:qFormat/>
    <w:rsid w:val="00B801ED"/>
    <w:rPr>
      <w:rFonts w:ascii="Symbol" w:hAnsi="Symbol" w:cs="OpenSymbol"/>
      <w:color w:val="000000"/>
      <w:spacing w:val="0"/>
      <w:w w:val="100"/>
      <w:sz w:val="24"/>
      <w:szCs w:val="24"/>
      <w:lang w:val="pl-PL" w:eastAsia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qFormat/>
    <w:rsid w:val="00B801ED"/>
    <w:rPr>
      <w:rFonts w:ascii="OpenSymbol" w:hAnsi="OpenSymbol" w:cs="OpenSymbol"/>
    </w:rPr>
  </w:style>
  <w:style w:type="character" w:customStyle="1" w:styleId="WW8Num5z0">
    <w:name w:val="WW8Num5z0"/>
    <w:qFormat/>
    <w:rsid w:val="00B801ED"/>
    <w:rPr>
      <w:rFonts w:ascii="Symbol" w:eastAsia="Times New Roman" w:hAnsi="Symbol" w:cs="OpenSymbol"/>
      <w:strike w:val="0"/>
      <w:dstrike w:val="0"/>
      <w:color w:val="000000"/>
      <w:sz w:val="24"/>
      <w:szCs w:val="24"/>
      <w:lang w:val="pl-PL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qFormat/>
    <w:rsid w:val="00B801ED"/>
    <w:rPr>
      <w:rFonts w:ascii="OpenSymbol" w:hAnsi="OpenSymbol" w:cs="OpenSymbol"/>
    </w:rPr>
  </w:style>
  <w:style w:type="character" w:customStyle="1" w:styleId="WW8Num2z1">
    <w:name w:val="WW8Num2z1"/>
    <w:qFormat/>
    <w:rsid w:val="00B801ED"/>
  </w:style>
  <w:style w:type="character" w:customStyle="1" w:styleId="WW8Num2z2">
    <w:name w:val="WW8Num2z2"/>
    <w:qFormat/>
    <w:rsid w:val="00B801ED"/>
  </w:style>
  <w:style w:type="character" w:customStyle="1" w:styleId="WW8Num2z3">
    <w:name w:val="WW8Num2z3"/>
    <w:qFormat/>
    <w:rsid w:val="00B801ED"/>
  </w:style>
  <w:style w:type="character" w:customStyle="1" w:styleId="WW8Num2z4">
    <w:name w:val="WW8Num2z4"/>
    <w:qFormat/>
    <w:rsid w:val="00B801ED"/>
  </w:style>
  <w:style w:type="character" w:customStyle="1" w:styleId="WW8Num2z5">
    <w:name w:val="WW8Num2z5"/>
    <w:qFormat/>
    <w:rsid w:val="00B801ED"/>
  </w:style>
  <w:style w:type="character" w:customStyle="1" w:styleId="WW8Num2z6">
    <w:name w:val="WW8Num2z6"/>
    <w:qFormat/>
    <w:rsid w:val="00B801ED"/>
  </w:style>
  <w:style w:type="character" w:customStyle="1" w:styleId="WW8Num2z7">
    <w:name w:val="WW8Num2z7"/>
    <w:qFormat/>
    <w:rsid w:val="00B801ED"/>
  </w:style>
  <w:style w:type="character" w:customStyle="1" w:styleId="WW8Num2z8">
    <w:name w:val="WW8Num2z8"/>
    <w:qFormat/>
    <w:rsid w:val="00B801ED"/>
  </w:style>
  <w:style w:type="character" w:customStyle="1" w:styleId="Domylnaczcionkaakapitu5">
    <w:name w:val="Domyślna czcionka akapitu5"/>
    <w:qFormat/>
    <w:rsid w:val="00B801ED"/>
  </w:style>
  <w:style w:type="character" w:customStyle="1" w:styleId="Domylnaczcionkaakapitu4">
    <w:name w:val="Domyślna czcionka akapitu4"/>
    <w:qFormat/>
    <w:rsid w:val="00B801ED"/>
  </w:style>
  <w:style w:type="character" w:customStyle="1" w:styleId="WW8Num6z0">
    <w:name w:val="WW8Num6z0"/>
    <w:qFormat/>
    <w:rsid w:val="00B801ED"/>
    <w:rPr>
      <w:b w:val="0"/>
      <w:sz w:val="24"/>
      <w:szCs w:val="24"/>
    </w:rPr>
  </w:style>
  <w:style w:type="character" w:customStyle="1" w:styleId="WW8Num6z1">
    <w:name w:val="WW8Num6z1"/>
    <w:qFormat/>
    <w:rsid w:val="00B801ED"/>
    <w:rPr>
      <w:rFonts w:cs="Times New Roman"/>
    </w:rPr>
  </w:style>
  <w:style w:type="character" w:customStyle="1" w:styleId="WW8Num6z2">
    <w:name w:val="WW8Num6z2"/>
    <w:qFormat/>
    <w:rsid w:val="00B801ED"/>
  </w:style>
  <w:style w:type="character" w:customStyle="1" w:styleId="WW8Num6z3">
    <w:name w:val="WW8Num6z3"/>
    <w:qFormat/>
    <w:rsid w:val="00B801ED"/>
  </w:style>
  <w:style w:type="character" w:customStyle="1" w:styleId="WW8Num6z4">
    <w:name w:val="WW8Num6z4"/>
    <w:qFormat/>
    <w:rsid w:val="00B801ED"/>
  </w:style>
  <w:style w:type="character" w:customStyle="1" w:styleId="WW8Num6z5">
    <w:name w:val="WW8Num6z5"/>
    <w:qFormat/>
    <w:rsid w:val="00B801ED"/>
  </w:style>
  <w:style w:type="character" w:customStyle="1" w:styleId="WW8Num6z6">
    <w:name w:val="WW8Num6z6"/>
    <w:qFormat/>
    <w:rsid w:val="00B801ED"/>
  </w:style>
  <w:style w:type="character" w:customStyle="1" w:styleId="WW8Num6z7">
    <w:name w:val="WW8Num6z7"/>
    <w:qFormat/>
    <w:rsid w:val="00B801ED"/>
  </w:style>
  <w:style w:type="character" w:customStyle="1" w:styleId="WW8Num6z8">
    <w:name w:val="WW8Num6z8"/>
    <w:qFormat/>
    <w:rsid w:val="00B801ED"/>
  </w:style>
  <w:style w:type="character" w:customStyle="1" w:styleId="Domylnaczcionkaakapitu3">
    <w:name w:val="Domyślna czcionka akapitu3"/>
    <w:qFormat/>
    <w:rsid w:val="00B801ED"/>
  </w:style>
  <w:style w:type="character" w:customStyle="1" w:styleId="WW8Num7z0">
    <w:name w:val="WW8Num7z0"/>
    <w:qFormat/>
    <w:rsid w:val="00B801ED"/>
    <w:rPr>
      <w:i/>
    </w:rPr>
  </w:style>
  <w:style w:type="character" w:customStyle="1" w:styleId="Domylnaczcionkaakapitu2">
    <w:name w:val="Domyślna czcionka akapitu2"/>
    <w:qFormat/>
    <w:rsid w:val="00B801ED"/>
  </w:style>
  <w:style w:type="character" w:customStyle="1" w:styleId="WW8Num3z1">
    <w:name w:val="WW8Num3z1"/>
    <w:qFormat/>
    <w:rsid w:val="00B801ED"/>
  </w:style>
  <w:style w:type="character" w:customStyle="1" w:styleId="WW8Num3z2">
    <w:name w:val="WW8Num3z2"/>
    <w:qFormat/>
    <w:rsid w:val="00B801ED"/>
  </w:style>
  <w:style w:type="character" w:customStyle="1" w:styleId="WW8Num3z3">
    <w:name w:val="WW8Num3z3"/>
    <w:qFormat/>
    <w:rsid w:val="00B801ED"/>
  </w:style>
  <w:style w:type="character" w:customStyle="1" w:styleId="WW8Num3z4">
    <w:name w:val="WW8Num3z4"/>
    <w:qFormat/>
    <w:rsid w:val="00B801ED"/>
  </w:style>
  <w:style w:type="character" w:customStyle="1" w:styleId="WW8Num3z5">
    <w:name w:val="WW8Num3z5"/>
    <w:qFormat/>
    <w:rsid w:val="00B801ED"/>
  </w:style>
  <w:style w:type="character" w:customStyle="1" w:styleId="WW8Num3z6">
    <w:name w:val="WW8Num3z6"/>
    <w:qFormat/>
    <w:rsid w:val="00B801ED"/>
  </w:style>
  <w:style w:type="character" w:customStyle="1" w:styleId="WW8Num3z7">
    <w:name w:val="WW8Num3z7"/>
    <w:qFormat/>
    <w:rsid w:val="00B801ED"/>
  </w:style>
  <w:style w:type="character" w:customStyle="1" w:styleId="WW8Num3z8">
    <w:name w:val="WW8Num3z8"/>
    <w:qFormat/>
    <w:rsid w:val="00B801ED"/>
  </w:style>
  <w:style w:type="character" w:customStyle="1" w:styleId="WW8Num4z2">
    <w:name w:val="WW8Num4z2"/>
    <w:qFormat/>
    <w:rsid w:val="00B801ED"/>
  </w:style>
  <w:style w:type="character" w:customStyle="1" w:styleId="WW8Num4z3">
    <w:name w:val="WW8Num4z3"/>
    <w:qFormat/>
    <w:rsid w:val="00B801ED"/>
  </w:style>
  <w:style w:type="character" w:customStyle="1" w:styleId="WW8Num4z4">
    <w:name w:val="WW8Num4z4"/>
    <w:qFormat/>
    <w:rsid w:val="00B801ED"/>
  </w:style>
  <w:style w:type="character" w:customStyle="1" w:styleId="WW8Num4z5">
    <w:name w:val="WW8Num4z5"/>
    <w:qFormat/>
    <w:rsid w:val="00B801ED"/>
  </w:style>
  <w:style w:type="character" w:customStyle="1" w:styleId="WW8Num4z6">
    <w:name w:val="WW8Num4z6"/>
    <w:qFormat/>
    <w:rsid w:val="00B801ED"/>
  </w:style>
  <w:style w:type="character" w:customStyle="1" w:styleId="WW8Num4z7">
    <w:name w:val="WW8Num4z7"/>
    <w:qFormat/>
    <w:rsid w:val="00B801ED"/>
  </w:style>
  <w:style w:type="character" w:customStyle="1" w:styleId="WW8Num4z8">
    <w:name w:val="WW8Num4z8"/>
    <w:qFormat/>
    <w:rsid w:val="00B801ED"/>
  </w:style>
  <w:style w:type="character" w:customStyle="1" w:styleId="WW8Num5z2">
    <w:name w:val="WW8Num5z2"/>
    <w:qFormat/>
    <w:rsid w:val="00B801ED"/>
  </w:style>
  <w:style w:type="character" w:customStyle="1" w:styleId="WW8Num5z3">
    <w:name w:val="WW8Num5z3"/>
    <w:qFormat/>
    <w:rsid w:val="00B801ED"/>
  </w:style>
  <w:style w:type="character" w:customStyle="1" w:styleId="WW8Num5z4">
    <w:name w:val="WW8Num5z4"/>
    <w:qFormat/>
    <w:rsid w:val="00B801ED"/>
  </w:style>
  <w:style w:type="character" w:customStyle="1" w:styleId="WW8Num5z5">
    <w:name w:val="WW8Num5z5"/>
    <w:qFormat/>
    <w:rsid w:val="00B801ED"/>
  </w:style>
  <w:style w:type="character" w:customStyle="1" w:styleId="WW8Num5z6">
    <w:name w:val="WW8Num5z6"/>
    <w:qFormat/>
    <w:rsid w:val="00B801ED"/>
  </w:style>
  <w:style w:type="character" w:customStyle="1" w:styleId="WW8Num5z7">
    <w:name w:val="WW8Num5z7"/>
    <w:qFormat/>
    <w:rsid w:val="00B801ED"/>
  </w:style>
  <w:style w:type="character" w:customStyle="1" w:styleId="WW8Num5z8">
    <w:name w:val="WW8Num5z8"/>
    <w:qFormat/>
    <w:rsid w:val="00B801ED"/>
  </w:style>
  <w:style w:type="character" w:customStyle="1" w:styleId="WW8Num7z1">
    <w:name w:val="WW8Num7z1"/>
    <w:qFormat/>
    <w:rsid w:val="00B801ED"/>
  </w:style>
  <w:style w:type="character" w:customStyle="1" w:styleId="WW8Num7z2">
    <w:name w:val="WW8Num7z2"/>
    <w:qFormat/>
    <w:rsid w:val="00B801ED"/>
  </w:style>
  <w:style w:type="character" w:customStyle="1" w:styleId="WW8Num7z3">
    <w:name w:val="WW8Num7z3"/>
    <w:qFormat/>
    <w:rsid w:val="00B801ED"/>
  </w:style>
  <w:style w:type="character" w:customStyle="1" w:styleId="WW8Num7z4">
    <w:name w:val="WW8Num7z4"/>
    <w:qFormat/>
    <w:rsid w:val="00B801ED"/>
  </w:style>
  <w:style w:type="character" w:customStyle="1" w:styleId="WW8Num7z5">
    <w:name w:val="WW8Num7z5"/>
    <w:qFormat/>
    <w:rsid w:val="00B801ED"/>
  </w:style>
  <w:style w:type="character" w:customStyle="1" w:styleId="WW8Num7z6">
    <w:name w:val="WW8Num7z6"/>
    <w:qFormat/>
    <w:rsid w:val="00B801ED"/>
  </w:style>
  <w:style w:type="character" w:customStyle="1" w:styleId="WW8Num7z7">
    <w:name w:val="WW8Num7z7"/>
    <w:qFormat/>
    <w:rsid w:val="00B801ED"/>
  </w:style>
  <w:style w:type="character" w:customStyle="1" w:styleId="WW8Num7z8">
    <w:name w:val="WW8Num7z8"/>
    <w:qFormat/>
    <w:rsid w:val="00B801ED"/>
  </w:style>
  <w:style w:type="character" w:customStyle="1" w:styleId="WW8Num8z0">
    <w:name w:val="WW8Num8z0"/>
    <w:qFormat/>
    <w:rsid w:val="00B801ED"/>
  </w:style>
  <w:style w:type="character" w:customStyle="1" w:styleId="WW8Num8z1">
    <w:name w:val="WW8Num8z1"/>
    <w:qFormat/>
    <w:rsid w:val="00B801ED"/>
  </w:style>
  <w:style w:type="character" w:customStyle="1" w:styleId="WW8Num8z2">
    <w:name w:val="WW8Num8z2"/>
    <w:qFormat/>
    <w:rsid w:val="00B801ED"/>
  </w:style>
  <w:style w:type="character" w:customStyle="1" w:styleId="WW8Num8z3">
    <w:name w:val="WW8Num8z3"/>
    <w:qFormat/>
    <w:rsid w:val="00B801ED"/>
  </w:style>
  <w:style w:type="character" w:customStyle="1" w:styleId="WW8Num8z4">
    <w:name w:val="WW8Num8z4"/>
    <w:qFormat/>
    <w:rsid w:val="00B801ED"/>
  </w:style>
  <w:style w:type="character" w:customStyle="1" w:styleId="WW8Num8z5">
    <w:name w:val="WW8Num8z5"/>
    <w:qFormat/>
    <w:rsid w:val="00B801ED"/>
  </w:style>
  <w:style w:type="character" w:customStyle="1" w:styleId="WW8Num8z6">
    <w:name w:val="WW8Num8z6"/>
    <w:qFormat/>
    <w:rsid w:val="00B801ED"/>
  </w:style>
  <w:style w:type="character" w:customStyle="1" w:styleId="WW8Num8z7">
    <w:name w:val="WW8Num8z7"/>
    <w:qFormat/>
    <w:rsid w:val="00B801ED"/>
  </w:style>
  <w:style w:type="character" w:customStyle="1" w:styleId="WW8Num8z8">
    <w:name w:val="WW8Num8z8"/>
    <w:qFormat/>
    <w:rsid w:val="00B801ED"/>
  </w:style>
  <w:style w:type="character" w:customStyle="1" w:styleId="WW8Num9z0">
    <w:name w:val="WW8Num9z0"/>
    <w:qFormat/>
    <w:rsid w:val="00B801ED"/>
  </w:style>
  <w:style w:type="character" w:customStyle="1" w:styleId="WW8Num9z1">
    <w:name w:val="WW8Num9z1"/>
    <w:qFormat/>
    <w:rsid w:val="00B801ED"/>
  </w:style>
  <w:style w:type="character" w:customStyle="1" w:styleId="WW8Num9z2">
    <w:name w:val="WW8Num9z2"/>
    <w:qFormat/>
    <w:rsid w:val="00B801ED"/>
  </w:style>
  <w:style w:type="character" w:customStyle="1" w:styleId="WW8Num9z3">
    <w:name w:val="WW8Num9z3"/>
    <w:qFormat/>
    <w:rsid w:val="00B801ED"/>
  </w:style>
  <w:style w:type="character" w:customStyle="1" w:styleId="WW8Num9z4">
    <w:name w:val="WW8Num9z4"/>
    <w:qFormat/>
    <w:rsid w:val="00B801ED"/>
  </w:style>
  <w:style w:type="character" w:customStyle="1" w:styleId="WW8Num9z5">
    <w:name w:val="WW8Num9z5"/>
    <w:qFormat/>
    <w:rsid w:val="00B801ED"/>
  </w:style>
  <w:style w:type="character" w:customStyle="1" w:styleId="WW8Num9z6">
    <w:name w:val="WW8Num9z6"/>
    <w:qFormat/>
    <w:rsid w:val="00B801ED"/>
  </w:style>
  <w:style w:type="character" w:customStyle="1" w:styleId="WW8Num9z7">
    <w:name w:val="WW8Num9z7"/>
    <w:qFormat/>
    <w:rsid w:val="00B801ED"/>
  </w:style>
  <w:style w:type="character" w:customStyle="1" w:styleId="WW8Num9z8">
    <w:name w:val="WW8Num9z8"/>
    <w:qFormat/>
    <w:rsid w:val="00B801ED"/>
  </w:style>
  <w:style w:type="character" w:customStyle="1" w:styleId="WW8Num10z0">
    <w:name w:val="WW8Num10z0"/>
    <w:qFormat/>
    <w:rsid w:val="00B801ED"/>
  </w:style>
  <w:style w:type="character" w:customStyle="1" w:styleId="WW8Num10z1">
    <w:name w:val="WW8Num10z1"/>
    <w:qFormat/>
    <w:rsid w:val="00B801ED"/>
  </w:style>
  <w:style w:type="character" w:customStyle="1" w:styleId="WW8Num10z2">
    <w:name w:val="WW8Num10z2"/>
    <w:qFormat/>
    <w:rsid w:val="00B801ED"/>
  </w:style>
  <w:style w:type="character" w:customStyle="1" w:styleId="WW8Num10z3">
    <w:name w:val="WW8Num10z3"/>
    <w:qFormat/>
    <w:rsid w:val="00B801ED"/>
  </w:style>
  <w:style w:type="character" w:customStyle="1" w:styleId="WW8Num10z4">
    <w:name w:val="WW8Num10z4"/>
    <w:qFormat/>
    <w:rsid w:val="00B801ED"/>
  </w:style>
  <w:style w:type="character" w:customStyle="1" w:styleId="WW8Num10z5">
    <w:name w:val="WW8Num10z5"/>
    <w:qFormat/>
    <w:rsid w:val="00B801ED"/>
  </w:style>
  <w:style w:type="character" w:customStyle="1" w:styleId="WW8Num10z6">
    <w:name w:val="WW8Num10z6"/>
    <w:qFormat/>
    <w:rsid w:val="00B801ED"/>
  </w:style>
  <w:style w:type="character" w:customStyle="1" w:styleId="WW8Num10z7">
    <w:name w:val="WW8Num10z7"/>
    <w:qFormat/>
    <w:rsid w:val="00B801ED"/>
  </w:style>
  <w:style w:type="character" w:customStyle="1" w:styleId="WW8Num10z8">
    <w:name w:val="WW8Num10z8"/>
    <w:qFormat/>
    <w:rsid w:val="00B801ED"/>
  </w:style>
  <w:style w:type="character" w:customStyle="1" w:styleId="WW8Num11z0">
    <w:name w:val="WW8Num11z0"/>
    <w:qFormat/>
    <w:rsid w:val="00B801ED"/>
  </w:style>
  <w:style w:type="character" w:customStyle="1" w:styleId="WW8Num11z1">
    <w:name w:val="WW8Num11z1"/>
    <w:qFormat/>
    <w:rsid w:val="00B801ED"/>
  </w:style>
  <w:style w:type="character" w:customStyle="1" w:styleId="WW8Num11z2">
    <w:name w:val="WW8Num11z2"/>
    <w:qFormat/>
    <w:rsid w:val="00B801ED"/>
  </w:style>
  <w:style w:type="character" w:customStyle="1" w:styleId="WW8Num11z3">
    <w:name w:val="WW8Num11z3"/>
    <w:qFormat/>
    <w:rsid w:val="00B801ED"/>
  </w:style>
  <w:style w:type="character" w:customStyle="1" w:styleId="WW8Num11z4">
    <w:name w:val="WW8Num11z4"/>
    <w:qFormat/>
    <w:rsid w:val="00B801ED"/>
  </w:style>
  <w:style w:type="character" w:customStyle="1" w:styleId="WW8Num11z5">
    <w:name w:val="WW8Num11z5"/>
    <w:qFormat/>
    <w:rsid w:val="00B801ED"/>
  </w:style>
  <w:style w:type="character" w:customStyle="1" w:styleId="WW8Num11z6">
    <w:name w:val="WW8Num11z6"/>
    <w:qFormat/>
    <w:rsid w:val="00B801ED"/>
  </w:style>
  <w:style w:type="character" w:customStyle="1" w:styleId="WW8Num11z7">
    <w:name w:val="WW8Num11z7"/>
    <w:qFormat/>
    <w:rsid w:val="00B801ED"/>
  </w:style>
  <w:style w:type="character" w:customStyle="1" w:styleId="WW8Num11z8">
    <w:name w:val="WW8Num11z8"/>
    <w:qFormat/>
    <w:rsid w:val="00B801ED"/>
  </w:style>
  <w:style w:type="character" w:customStyle="1" w:styleId="WW8Num12z0">
    <w:name w:val="WW8Num12z0"/>
    <w:qFormat/>
    <w:rsid w:val="00B801ED"/>
    <w:rPr>
      <w:b/>
      <w:i/>
      <w:iCs/>
      <w:sz w:val="28"/>
      <w:szCs w:val="28"/>
    </w:rPr>
  </w:style>
  <w:style w:type="character" w:customStyle="1" w:styleId="WW8Num12z1">
    <w:name w:val="WW8Num12z1"/>
    <w:qFormat/>
    <w:rsid w:val="00B801ED"/>
  </w:style>
  <w:style w:type="character" w:customStyle="1" w:styleId="WW8Num12z2">
    <w:name w:val="WW8Num12z2"/>
    <w:qFormat/>
    <w:rsid w:val="00B801ED"/>
  </w:style>
  <w:style w:type="character" w:customStyle="1" w:styleId="WW8Num12z3">
    <w:name w:val="WW8Num12z3"/>
    <w:qFormat/>
    <w:rsid w:val="00B801ED"/>
  </w:style>
  <w:style w:type="character" w:customStyle="1" w:styleId="WW8Num12z4">
    <w:name w:val="WW8Num12z4"/>
    <w:qFormat/>
    <w:rsid w:val="00B801ED"/>
  </w:style>
  <w:style w:type="character" w:customStyle="1" w:styleId="WW8Num12z5">
    <w:name w:val="WW8Num12z5"/>
    <w:qFormat/>
    <w:rsid w:val="00B801ED"/>
  </w:style>
  <w:style w:type="character" w:customStyle="1" w:styleId="WW8Num12z6">
    <w:name w:val="WW8Num12z6"/>
    <w:qFormat/>
    <w:rsid w:val="00B801ED"/>
  </w:style>
  <w:style w:type="character" w:customStyle="1" w:styleId="WW8Num12z7">
    <w:name w:val="WW8Num12z7"/>
    <w:qFormat/>
    <w:rsid w:val="00B801ED"/>
  </w:style>
  <w:style w:type="character" w:customStyle="1" w:styleId="WW8Num12z8">
    <w:name w:val="WW8Num12z8"/>
    <w:qFormat/>
    <w:rsid w:val="00B801ED"/>
  </w:style>
  <w:style w:type="character" w:customStyle="1" w:styleId="Domylnaczcionkaakapitu1">
    <w:name w:val="Domyślna czcionka akapitu1"/>
    <w:qFormat/>
    <w:rsid w:val="00B801ED"/>
  </w:style>
  <w:style w:type="character" w:customStyle="1" w:styleId="tekst3Znak">
    <w:name w:val="tekst3 Znak"/>
    <w:qFormat/>
    <w:rsid w:val="00B801ED"/>
    <w:rPr>
      <w:rFonts w:ascii="Arial Narrow" w:hAnsi="Arial Narrow" w:cs="Arial Narrow"/>
      <w:sz w:val="24"/>
      <w:szCs w:val="24"/>
      <w:lang w:val="pl-PL" w:bidi="ar-SA"/>
    </w:rPr>
  </w:style>
  <w:style w:type="character" w:customStyle="1" w:styleId="Nagwek1Znak">
    <w:name w:val="Nagłówek 1 Znak"/>
    <w:qFormat/>
    <w:rsid w:val="00B801ED"/>
    <w:rPr>
      <w:rFonts w:ascii="Times" w:hAnsi="Times" w:cs="Arial"/>
      <w:b/>
      <w:sz w:val="24"/>
      <w:szCs w:val="24"/>
    </w:rPr>
  </w:style>
  <w:style w:type="character" w:customStyle="1" w:styleId="tekstZnak">
    <w:name w:val="tekst Znak"/>
    <w:qFormat/>
    <w:rsid w:val="00B801ED"/>
    <w:rPr>
      <w:rFonts w:ascii="Times" w:hAnsi="Times" w:cs="Arial"/>
      <w:b/>
      <w:sz w:val="22"/>
      <w:szCs w:val="22"/>
    </w:rPr>
  </w:style>
  <w:style w:type="character" w:customStyle="1" w:styleId="tekst2Znak">
    <w:name w:val="tekst2 Znak"/>
    <w:qFormat/>
    <w:rsid w:val="00B801ED"/>
    <w:rPr>
      <w:rFonts w:ascii="Arial Narrow" w:hAnsi="Arial Narrow" w:cs="Arial Narrow"/>
      <w:sz w:val="24"/>
      <w:szCs w:val="24"/>
      <w:lang w:val="pl-PL" w:bidi="ar-SA"/>
    </w:rPr>
  </w:style>
  <w:style w:type="character" w:customStyle="1" w:styleId="AN12tekst">
    <w:name w:val="AN 12 tekst"/>
    <w:qFormat/>
    <w:rsid w:val="00B801ED"/>
    <w:rPr>
      <w:rFonts w:ascii="Arial Narrow" w:hAnsi="Arial Narrow" w:cs="Times New Roman"/>
      <w:sz w:val="24"/>
    </w:rPr>
  </w:style>
  <w:style w:type="character" w:customStyle="1" w:styleId="AN12kursywaZnak">
    <w:name w:val="AN12_kursywa Znak"/>
    <w:qFormat/>
    <w:rsid w:val="00B801ED"/>
    <w:rPr>
      <w:rFonts w:ascii="Arial Narrow" w:hAnsi="Arial Narrow" w:cs="Arial Narrow"/>
      <w:i/>
      <w:lang w:val="pl-PL" w:bidi="ar-SA"/>
    </w:rPr>
  </w:style>
  <w:style w:type="character" w:customStyle="1" w:styleId="Znakiprzypiswdolnych">
    <w:name w:val="Znaki przypisów dolnych"/>
    <w:qFormat/>
    <w:rsid w:val="00B801ED"/>
    <w:rPr>
      <w:vertAlign w:val="superscript"/>
    </w:rPr>
  </w:style>
  <w:style w:type="character" w:customStyle="1" w:styleId="TekstprzypisudolnegoZnak">
    <w:name w:val="Tekst przypisu dolnego Znak"/>
    <w:qFormat/>
    <w:rsid w:val="00B801ED"/>
    <w:rPr>
      <w:rFonts w:ascii="Arial Narrow" w:hAnsi="Arial Narrow" w:cs="Arial Narrow"/>
      <w:sz w:val="16"/>
      <w:lang w:val="pl-PL" w:bidi="ar-SA"/>
    </w:rPr>
  </w:style>
  <w:style w:type="character" w:customStyle="1" w:styleId="AN11N">
    <w:name w:val="AN11N"/>
    <w:qFormat/>
    <w:rsid w:val="00B801ED"/>
    <w:rPr>
      <w:rFonts w:ascii="Arial Narrow" w:hAnsi="Arial Narrow" w:cs="Arial Narrow"/>
      <w:i/>
      <w:color w:val="0070C0"/>
      <w:sz w:val="24"/>
    </w:rPr>
  </w:style>
  <w:style w:type="character" w:customStyle="1" w:styleId="AN11tekst1Znak">
    <w:name w:val="AN11 tekst1 Znak"/>
    <w:qFormat/>
    <w:rsid w:val="00B801ED"/>
    <w:rPr>
      <w:i/>
      <w:szCs w:val="24"/>
      <w:lang w:val="pl-PL" w:eastAsia="pl-PL"/>
    </w:rPr>
  </w:style>
  <w:style w:type="character" w:customStyle="1" w:styleId="lewaczZnak">
    <w:name w:val="lewa_cz Znak"/>
    <w:qFormat/>
    <w:rsid w:val="00B801ED"/>
    <w:rPr>
      <w:b/>
      <w:i/>
      <w:sz w:val="22"/>
      <w:szCs w:val="22"/>
    </w:rPr>
  </w:style>
  <w:style w:type="character" w:customStyle="1" w:styleId="AN11">
    <w:name w:val="AN11"/>
    <w:qFormat/>
    <w:rsid w:val="00B801ED"/>
    <w:rPr>
      <w:rFonts w:ascii="Arial Narrow" w:hAnsi="Arial Narrow" w:cs="Arial Narrow"/>
      <w:sz w:val="24"/>
    </w:rPr>
  </w:style>
  <w:style w:type="character" w:customStyle="1" w:styleId="NagwekZnak">
    <w:name w:val="Nagłówek Znak"/>
    <w:qFormat/>
    <w:rsid w:val="00B801ED"/>
    <w:rPr>
      <w:sz w:val="24"/>
      <w:szCs w:val="24"/>
    </w:rPr>
  </w:style>
  <w:style w:type="character" w:customStyle="1" w:styleId="StopkaZnak">
    <w:name w:val="Stopka Znak"/>
    <w:qFormat/>
    <w:rsid w:val="00B801ED"/>
    <w:rPr>
      <w:sz w:val="24"/>
      <w:szCs w:val="24"/>
    </w:rPr>
  </w:style>
  <w:style w:type="character" w:customStyle="1" w:styleId="Odwoanieprzypisudolnego1">
    <w:name w:val="Odwołanie przypisu dolnego1"/>
    <w:qFormat/>
    <w:rsid w:val="00B801ED"/>
    <w:rPr>
      <w:vertAlign w:val="superscript"/>
    </w:rPr>
  </w:style>
  <w:style w:type="character" w:customStyle="1" w:styleId="Znakiprzypiswkocowych">
    <w:name w:val="Znaki przypisów końcowych"/>
    <w:qFormat/>
    <w:rsid w:val="00B801ED"/>
    <w:rPr>
      <w:vertAlign w:val="superscript"/>
    </w:rPr>
  </w:style>
  <w:style w:type="character" w:customStyle="1" w:styleId="WW-Znakiprzypiswkocowych">
    <w:name w:val="WW-Znaki przypisów końcowych"/>
    <w:qFormat/>
    <w:rsid w:val="00B801ED"/>
  </w:style>
  <w:style w:type="character" w:customStyle="1" w:styleId="TekstdymkaZnak">
    <w:name w:val="Tekst dymka Znak"/>
    <w:qFormat/>
    <w:rsid w:val="00B801ED"/>
    <w:rPr>
      <w:rFonts w:ascii="Tahoma" w:hAnsi="Tahoma" w:cs="Tahoma"/>
      <w:sz w:val="16"/>
      <w:szCs w:val="16"/>
      <w:lang w:eastAsia="zh-CN"/>
    </w:rPr>
  </w:style>
  <w:style w:type="character" w:customStyle="1" w:styleId="Domylnaczcionkaakapitu6">
    <w:name w:val="Domyślna czcionka akapitu6"/>
    <w:qFormat/>
    <w:rsid w:val="00B801ED"/>
  </w:style>
  <w:style w:type="character" w:customStyle="1" w:styleId="Teksttreci">
    <w:name w:val="Tekst treści_"/>
    <w:basedOn w:val="Domylnaczcionkaakapitu6"/>
    <w:qFormat/>
    <w:rsid w:val="00B801ED"/>
    <w:rPr>
      <w:b w:val="0"/>
      <w:i w:val="0"/>
      <w:caps w:val="0"/>
      <w:smallCaps w:val="0"/>
      <w:strike w:val="0"/>
      <w:dstrike w:val="0"/>
      <w:sz w:val="23"/>
      <w:u w:val="none"/>
    </w:rPr>
  </w:style>
  <w:style w:type="character" w:customStyle="1" w:styleId="Znakiwypunktowania">
    <w:name w:val="Znaki wypunktowania"/>
    <w:qFormat/>
    <w:rsid w:val="00B801ED"/>
    <w:rPr>
      <w:rFonts w:ascii="OpenSymbol" w:eastAsia="OpenSymbol" w:hAnsi="OpenSymbol" w:cs="OpenSymbol"/>
    </w:rPr>
  </w:style>
  <w:style w:type="character" w:customStyle="1" w:styleId="Teksttreci105pt">
    <w:name w:val="Tekst treści + 10.5 pt"/>
    <w:basedOn w:val="Teksttreci"/>
    <w:qFormat/>
    <w:rsid w:val="00B801ED"/>
    <w:rPr>
      <w:b/>
      <w:i w:val="0"/>
      <w:caps w:val="0"/>
      <w:smallCaps w:val="0"/>
      <w:strike w:val="0"/>
      <w:dstrike w:val="0"/>
      <w:sz w:val="21"/>
      <w:u w:val="single"/>
    </w:rPr>
  </w:style>
  <w:style w:type="character" w:customStyle="1" w:styleId="TekstprzypisukocowegoZnak">
    <w:name w:val="Tekst przypisu końcowego Znak"/>
    <w:basedOn w:val="Domylnaczcionkaakapitu"/>
    <w:link w:val="EndnoteSymbol"/>
    <w:uiPriority w:val="99"/>
    <w:semiHidden/>
    <w:qFormat/>
    <w:rsid w:val="009C414E"/>
    <w:rPr>
      <w:lang w:eastAsia="zh-CN"/>
    </w:rPr>
  </w:style>
  <w:style w:type="character" w:customStyle="1" w:styleId="Zakotwiczenieprzypisukocowego">
    <w:name w:val="Zakotwiczenie przypisu końcowego"/>
    <w:rsid w:val="00311F5C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41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7A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7A6E"/>
    <w:rPr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7A6E"/>
    <w:rPr>
      <w:b/>
      <w:bCs/>
      <w:lang w:eastAsia="zh-CN"/>
    </w:rPr>
  </w:style>
  <w:style w:type="character" w:customStyle="1" w:styleId="ListLabel1">
    <w:name w:val="ListLabel 1"/>
    <w:qFormat/>
    <w:rPr>
      <w:i/>
      <w:color w:val="FF000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801ED"/>
    <w:pPr>
      <w:spacing w:after="120"/>
    </w:pPr>
  </w:style>
  <w:style w:type="paragraph" w:styleId="Lista">
    <w:name w:val="List"/>
    <w:basedOn w:val="Tekstpodstawowy"/>
    <w:rsid w:val="00B801ED"/>
    <w:rPr>
      <w:rFonts w:cs="Mangal"/>
    </w:rPr>
  </w:style>
  <w:style w:type="paragraph" w:customStyle="1" w:styleId="Legenda1">
    <w:name w:val="Legenda1"/>
    <w:basedOn w:val="Normalny"/>
    <w:qFormat/>
    <w:rsid w:val="00311F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801ED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B801ED"/>
    <w:pPr>
      <w:tabs>
        <w:tab w:val="center" w:pos="4536"/>
        <w:tab w:val="right" w:pos="9072"/>
      </w:tabs>
    </w:pPr>
  </w:style>
  <w:style w:type="paragraph" w:customStyle="1" w:styleId="Nagwek5">
    <w:name w:val="Nagłówek5"/>
    <w:basedOn w:val="Normalny"/>
    <w:qFormat/>
    <w:rsid w:val="00B801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B801ED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qFormat/>
    <w:rsid w:val="00B801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qFormat/>
    <w:rsid w:val="00B801E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rsid w:val="00B801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qFormat/>
    <w:rsid w:val="00B801ED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qFormat/>
    <w:rsid w:val="00B801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qFormat/>
    <w:rsid w:val="00B801E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rsid w:val="00B801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"/>
    <w:basedOn w:val="Normalny"/>
    <w:qFormat/>
    <w:rsid w:val="00B801ED"/>
    <w:pPr>
      <w:suppressLineNumbers/>
      <w:spacing w:before="120" w:after="120"/>
    </w:pPr>
    <w:rPr>
      <w:rFonts w:cs="Mangal"/>
      <w:i/>
      <w:iCs/>
    </w:rPr>
  </w:style>
  <w:style w:type="paragraph" w:customStyle="1" w:styleId="tekst3">
    <w:name w:val="tekst3"/>
    <w:basedOn w:val="Normalny"/>
    <w:qFormat/>
    <w:rsid w:val="00B801ED"/>
    <w:pPr>
      <w:jc w:val="center"/>
    </w:pPr>
    <w:rPr>
      <w:rFonts w:ascii="Arial Narrow" w:hAnsi="Arial Narrow" w:cs="Arial Narrow"/>
    </w:rPr>
  </w:style>
  <w:style w:type="paragraph" w:customStyle="1" w:styleId="tekst">
    <w:name w:val="tekst"/>
    <w:basedOn w:val="Normalny"/>
    <w:qFormat/>
    <w:rsid w:val="00B801ED"/>
    <w:pPr>
      <w:spacing w:after="120"/>
    </w:pPr>
    <w:rPr>
      <w:rFonts w:ascii="Times" w:hAnsi="Times" w:cs="Times"/>
      <w:b/>
      <w:sz w:val="22"/>
      <w:szCs w:val="22"/>
    </w:rPr>
  </w:style>
  <w:style w:type="paragraph" w:customStyle="1" w:styleId="tekst2">
    <w:name w:val="tekst2"/>
    <w:basedOn w:val="tekst"/>
    <w:qFormat/>
    <w:rsid w:val="00B801ED"/>
    <w:pPr>
      <w:tabs>
        <w:tab w:val="left" w:pos="360"/>
      </w:tabs>
    </w:pPr>
    <w:rPr>
      <w:rFonts w:ascii="Arial Narrow" w:hAnsi="Arial Narrow" w:cs="Arial Narrow"/>
      <w:b w:val="0"/>
      <w:sz w:val="24"/>
      <w:szCs w:val="24"/>
    </w:rPr>
  </w:style>
  <w:style w:type="paragraph" w:customStyle="1" w:styleId="AN12kursywa">
    <w:name w:val="AN12_kursywa"/>
    <w:basedOn w:val="Normalny"/>
    <w:qFormat/>
    <w:rsid w:val="00B801ED"/>
    <w:pPr>
      <w:jc w:val="right"/>
    </w:pPr>
    <w:rPr>
      <w:rFonts w:ascii="Arial Narrow" w:hAnsi="Arial Narrow" w:cs="Arial Narrow"/>
      <w:i/>
      <w:sz w:val="20"/>
      <w:szCs w:val="20"/>
    </w:rPr>
  </w:style>
  <w:style w:type="paragraph" w:customStyle="1" w:styleId="Tekstprzypisudolnego1">
    <w:name w:val="Tekst przypisu dolnego1"/>
    <w:basedOn w:val="Normalny"/>
    <w:rsid w:val="00B801ED"/>
    <w:pPr>
      <w:ind w:left="284" w:hanging="284"/>
      <w:jc w:val="both"/>
    </w:pPr>
    <w:rPr>
      <w:rFonts w:ascii="Arial Narrow" w:hAnsi="Arial Narrow" w:cs="Arial Narrow"/>
      <w:sz w:val="16"/>
      <w:szCs w:val="20"/>
    </w:rPr>
  </w:style>
  <w:style w:type="paragraph" w:customStyle="1" w:styleId="AN11tekst1">
    <w:name w:val="AN11 tekst1"/>
    <w:basedOn w:val="Normalny"/>
    <w:qFormat/>
    <w:rsid w:val="00B801ED"/>
    <w:pPr>
      <w:spacing w:after="120"/>
      <w:jc w:val="both"/>
    </w:pPr>
    <w:rPr>
      <w:i/>
      <w:sz w:val="20"/>
      <w:lang w:eastAsia="pl-PL"/>
    </w:rPr>
  </w:style>
  <w:style w:type="paragraph" w:customStyle="1" w:styleId="lewacz">
    <w:name w:val="lewa_cz"/>
    <w:basedOn w:val="Normalny"/>
    <w:qFormat/>
    <w:rsid w:val="00B801ED"/>
    <w:pPr>
      <w:spacing w:after="120"/>
    </w:pPr>
    <w:rPr>
      <w:b/>
      <w:i/>
      <w:sz w:val="22"/>
      <w:szCs w:val="22"/>
    </w:rPr>
  </w:style>
  <w:style w:type="paragraph" w:customStyle="1" w:styleId="Gwkaistopka">
    <w:name w:val="Główka i stopka"/>
    <w:basedOn w:val="Normalny"/>
    <w:qFormat/>
    <w:rsid w:val="00311F5C"/>
  </w:style>
  <w:style w:type="paragraph" w:customStyle="1" w:styleId="Stopka1">
    <w:name w:val="Stopka1"/>
    <w:basedOn w:val="Normalny"/>
    <w:rsid w:val="00B801E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B801ED"/>
    <w:pPr>
      <w:suppressLineNumbers/>
    </w:pPr>
  </w:style>
  <w:style w:type="paragraph" w:customStyle="1" w:styleId="Nagwektabeli">
    <w:name w:val="Nagłówek tabeli"/>
    <w:basedOn w:val="Zawartotabeli"/>
    <w:qFormat/>
    <w:rsid w:val="00B801ED"/>
    <w:pPr>
      <w:jc w:val="center"/>
    </w:pPr>
    <w:rPr>
      <w:b/>
      <w:bCs/>
    </w:rPr>
  </w:style>
  <w:style w:type="paragraph" w:styleId="Tekstdymka">
    <w:name w:val="Balloon Text"/>
    <w:basedOn w:val="Normalny"/>
    <w:qFormat/>
    <w:rsid w:val="00B801E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B801ED"/>
    <w:pPr>
      <w:snapToGrid w:val="0"/>
      <w:jc w:val="center"/>
    </w:pPr>
    <w:rPr>
      <w:rFonts w:ascii="Arial" w:hAnsi="Arial" w:cs="Arial"/>
      <w:b/>
    </w:rPr>
  </w:style>
  <w:style w:type="paragraph" w:customStyle="1" w:styleId="Teksttreci0">
    <w:name w:val="Tekst treści"/>
    <w:basedOn w:val="Normalny"/>
    <w:qFormat/>
    <w:rsid w:val="00B801ED"/>
    <w:pPr>
      <w:shd w:val="clear" w:color="auto" w:fill="FFFFFF"/>
      <w:spacing w:after="480"/>
      <w:ind w:hanging="420"/>
    </w:pPr>
    <w:rPr>
      <w:sz w:val="23"/>
    </w:rPr>
  </w:style>
  <w:style w:type="paragraph" w:styleId="NormalnyWeb">
    <w:name w:val="Normal (Web)"/>
    <w:basedOn w:val="Normalny"/>
    <w:uiPriority w:val="99"/>
    <w:unhideWhenUsed/>
    <w:qFormat/>
    <w:rsid w:val="005F2506"/>
    <w:pPr>
      <w:suppressAutoHyphens w:val="0"/>
      <w:spacing w:beforeAutospacing="1" w:after="142" w:line="288" w:lineRule="auto"/>
    </w:pPr>
    <w:rPr>
      <w:lang w:eastAsia="pl-PL"/>
    </w:rPr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9C414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7A6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7A6E"/>
    <w:rPr>
      <w:b/>
      <w:bCs/>
    </w:rPr>
  </w:style>
  <w:style w:type="paragraph" w:styleId="Akapitzlist">
    <w:name w:val="List Paragraph"/>
    <w:basedOn w:val="Normalny"/>
    <w:uiPriority w:val="34"/>
    <w:qFormat/>
    <w:rsid w:val="00AE171B"/>
    <w:pPr>
      <w:ind w:left="720"/>
      <w:contextualSpacing/>
    </w:pPr>
  </w:style>
  <w:style w:type="paragraph" w:customStyle="1" w:styleId="Standard">
    <w:name w:val="Standard"/>
    <w:qFormat/>
    <w:rsid w:val="00157D05"/>
    <w:rPr>
      <w:rFonts w:eastAsia="Ari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A50B9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37B43-5E0F-4057-B141-F9D6EB12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3023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kontroli</vt:lpstr>
    </vt:vector>
  </TitlesOfParts>
  <Company/>
  <LinksUpToDate>false</LinksUpToDate>
  <CharactersWithSpaces>21122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kontroli</dc:title>
  <dc:subject/>
  <dc:creator>akumpialowska</dc:creator>
  <dc:description/>
  <cp:lastModifiedBy>Kwiecińska Monika</cp:lastModifiedBy>
  <cp:revision>2</cp:revision>
  <cp:lastPrinted>2021-04-08T09:40:00Z</cp:lastPrinted>
  <dcterms:created xsi:type="dcterms:W3CDTF">2021-04-14T09:24:00Z</dcterms:created>
  <dcterms:modified xsi:type="dcterms:W3CDTF">2021-04-14T09:24:00Z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