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W w:w="9662" w:type="dxa"/>
        <w:jc w:val="left"/>
        <w:tblInd w:w="-90" w:type="dxa"/>
        <w:tblLayout w:type="fixed"/>
        <w:tblCellMar>
          <w:top w:w="0" w:type="dxa"/>
          <w:left w:w="88" w:type="dxa"/>
          <w:bottom w:w="0" w:type="dxa"/>
          <w:right w:w="108" w:type="dxa"/>
        </w:tblCellMar>
      </w:tblPr>
      <w:tblGrid>
        <w:gridCol w:w="2383"/>
        <w:gridCol w:w="5280"/>
        <w:gridCol w:w="1999"/>
      </w:tblGrid>
      <w:tr>
        <w:trPr>
          <w:trHeight w:val="708" w:hRule="atLeast"/>
          <w:cantSplit w:val="true"/>
        </w:trPr>
        <w:tc>
          <w:tcPr>
            <w:tcW w:w="23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cs="Arial" w:ascii="Arial" w:hAnsi="Arial"/>
                <w:sz w:val="20"/>
                <w:szCs w:val="20"/>
                <w:lang w:val="pl-PL" w:eastAsia="pl-PL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88265</wp:posOffset>
                  </wp:positionV>
                  <wp:extent cx="1383665" cy="751205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Karta Usług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K-06/1</w:t>
            </w:r>
          </w:p>
        </w:tc>
      </w:tr>
      <w:tr>
        <w:trPr>
          <w:trHeight w:val="825" w:hRule="atLeast"/>
          <w:cantSplit w:val="true"/>
        </w:trPr>
        <w:tc>
          <w:tcPr>
            <w:tcW w:w="23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57" w:after="57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Stwierdzenie nadpłaty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Obowiązuje</w:t>
            </w:r>
          </w:p>
          <w:p>
            <w:pPr>
              <w:pStyle w:val="Normal"/>
              <w:widowControl w:val="false"/>
              <w:bidi w:val="0"/>
              <w:spacing w:lineRule="auto" w:line="240"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od </w:t>
            </w:r>
          </w:p>
        </w:tc>
      </w:tr>
    </w:tbl>
    <w:p>
      <w:pPr>
        <w:pStyle w:val="Normal"/>
        <w:bidi w:val="0"/>
        <w:spacing w:lineRule="auto" w:line="276" w:before="0" w:after="0"/>
        <w:jc w:val="left"/>
        <w:rPr/>
      </w:pPr>
      <w:r>
        <w:rPr/>
        <w:t xml:space="preserve"> </w:t>
      </w:r>
    </w:p>
    <w:tbl>
      <w:tblPr>
        <w:tblW w:w="9692" w:type="dxa"/>
        <w:jc w:val="left"/>
        <w:tblInd w:w="-90" w:type="dxa"/>
        <w:tblLayout w:type="fixed"/>
        <w:tblCellMar>
          <w:top w:w="0" w:type="dxa"/>
          <w:left w:w="88" w:type="dxa"/>
          <w:bottom w:w="0" w:type="dxa"/>
          <w:right w:w="108" w:type="dxa"/>
        </w:tblCellMar>
      </w:tblPr>
      <w:tblGrid>
        <w:gridCol w:w="2385"/>
        <w:gridCol w:w="7306"/>
      </w:tblGrid>
      <w:tr>
        <w:trPr>
          <w:trHeight w:val="255" w:hRule="atLeast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 chcę załatwić?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113" w:after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Otrzymać zwrot nadpłaty wynikającej z korekty deklaracji/zeznania.</w:t>
            </w:r>
          </w:p>
        </w:tc>
      </w:tr>
      <w:tr>
        <w:trPr>
          <w:trHeight w:val="255" w:hRule="atLeast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Kogo dotyczy?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113" w:after="113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Każdego klienta Urzędu, który złoży korektę deklaracji/zeznani</w:t>
            </w:r>
            <w:r>
              <w:rPr>
                <w:rFonts w:cs="Arial" w:ascii="Arial" w:hAnsi="Arial"/>
                <w:sz w:val="20"/>
                <w:szCs w:val="20"/>
                <w:highlight w:val="white"/>
              </w:rPr>
              <w:t xml:space="preserve">a, </w:t>
            </w:r>
            <w:r>
              <w:rPr>
                <w:rFonts w:cs="Arial" w:ascii="Arial" w:hAnsi="Arial"/>
                <w:sz w:val="20"/>
                <w:szCs w:val="20"/>
              </w:rPr>
              <w:t>z której wynika nadpłata w wysokości większej niż w pierwotnie złożonej deklaracji/zeznaniu.</w:t>
            </w:r>
          </w:p>
        </w:tc>
      </w:tr>
      <w:tr>
        <w:trPr>
          <w:trHeight w:val="255" w:hRule="atLeast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113" w:after="113"/>
              <w:ind w:left="0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Wymagane dokumenty?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113" w:after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Brak.</w:t>
            </w:r>
          </w:p>
        </w:tc>
      </w:tr>
      <w:tr>
        <w:trPr>
          <w:trHeight w:val="255" w:hRule="atLeast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Jakie dokumenty muszę wypełnić?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Wniosek (podanie) o stwierdzenie nadpłaty.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Korekta deklaracji/zeznania.</w:t>
            </w:r>
          </w:p>
        </w:tc>
      </w:tr>
      <w:tr>
        <w:trPr>
          <w:trHeight w:val="255" w:hRule="atLeast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Wymagane opłaty?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113" w:after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Brak.</w:t>
            </w:r>
          </w:p>
        </w:tc>
      </w:tr>
      <w:tr>
        <w:trPr>
          <w:trHeight w:val="255" w:hRule="atLeast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Termin złożenia  dokumentów?</w:t>
            </w:r>
          </w:p>
          <w:p>
            <w:pPr>
              <w:pStyle w:val="Normal"/>
              <w:widowControl w:val="false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Prawo do złożenia wniosku o stwierdzenie nadpłaty wygasa po upływie terminu przedawnienia zobowiązania podatkowego.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360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Zobowiązanie podatkowe przedawnia się z upływem 5 lat licząc od końca roku kalendarzowego, w którym upłynął termin płatności podatku.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Korekta deklaracji podatku VAT za dany okres rozliczeniowy na skutek zwiększenia podatku naliczonego (obniżającego podatek należny), nie może być dokonana później niż w ciągu 5 lat, licząc od początku roku,        w którym podatnik nabył prawo do obniżenia kwoty podatku należnego.</w:t>
            </w:r>
          </w:p>
        </w:tc>
      </w:tr>
      <w:tr>
        <w:trPr>
          <w:trHeight w:val="255" w:hRule="atLeast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Gdzie załatwić sprawę?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Drugi Urząd Skarbowy w Gdańsku,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80-391 Gdańsk, ul. Kołobrzeska 43, Sala Obsługi Klienta: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- stanowiska nr 11-12 po uprzednim zarezerwowaniu wizyty na stronie: podatki.gov.pl/rezerwujwizytę lub pod nr tel. (58) 76-54-492 lub 463 (możliwość potwierdzenia złożonych dokumentów w przypadku posiadania kopii własnej)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- stanowisko nr 17 – punkt podawczy – bez rezerwacji wizyty (brak możliwości potwierdzenia kopii składanych dokumentów</w:t>
            </w:r>
            <w:r>
              <w:rPr>
                <w:rFonts w:cs="Arial" w:ascii="Arial" w:hAnsi="Arial"/>
                <w:sz w:val="20"/>
                <w:szCs w:val="20"/>
                <w:highlight w:val="white"/>
              </w:rPr>
              <w:t>.</w:t>
            </w:r>
          </w:p>
        </w:tc>
      </w:tr>
      <w:tr>
        <w:trPr>
          <w:trHeight w:val="1213" w:hRule="atLeast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Sposób załatwienia sprawy?</w:t>
            </w:r>
          </w:p>
          <w:p>
            <w:pPr>
              <w:pStyle w:val="Normal"/>
              <w:widowControl w:val="false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Jeżeli prawidłowość skorygowanej deklaracji/zeznania nie budzi wątpliwości, organ podatkowy zwraca nadpłatę bez wydania decyzji            o stwierdzeniu nadpłaty.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W pozostałych przypadkach organ podatkowy wydaje decyzję, w której określa wysokość nadpłaty lub odmawia jej stwierdzenia.</w:t>
            </w:r>
          </w:p>
        </w:tc>
      </w:tr>
      <w:tr>
        <w:trPr>
          <w:trHeight w:val="272" w:hRule="atLeast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Jaki jest czas realizacji?</w:t>
            </w:r>
          </w:p>
          <w:p>
            <w:pPr>
              <w:pStyle w:val="Normal"/>
              <w:widowControl w:val="false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345" w:leader="none"/>
              </w:tabs>
              <w:bidi w:val="0"/>
              <w:snapToGrid w:val="false"/>
              <w:spacing w:lineRule="auto" w:line="240" w:before="0" w:after="0"/>
              <w:ind w:left="-9" w:right="-9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Zwrot nadpłaty (bez wydania decyzji o stwierdzeniu nadpłaty)  w ciągu 2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left="360" w:right="0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m-cy od dnia złożenia wniosku.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345" w:leader="none"/>
                <w:tab w:val="left" w:pos="675" w:leader="none"/>
              </w:tabs>
              <w:suppressAutoHyphens w:val="true"/>
              <w:bidi w:val="0"/>
              <w:snapToGrid w:val="false"/>
              <w:spacing w:lineRule="auto" w:line="240" w:before="0" w:after="0"/>
              <w:ind w:left="397" w:right="0" w:hanging="397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W pozostałych  przypadkach załatwienie sprawy powinno nastąpić nie później niż w ciągu 2 m-cy od dnia złożenia wniosku.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45" w:leader="none"/>
                <w:tab w:val="left" w:pos="675" w:leader="none"/>
              </w:tabs>
              <w:suppressAutoHyphens w:val="true"/>
              <w:bidi w:val="0"/>
              <w:snapToGrid w:val="false"/>
              <w:spacing w:lineRule="auto" w:line="240" w:before="0" w:after="0"/>
              <w:ind w:left="720" w:right="0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Zwrot nadpłaty w ciągu 30 dni od dnia wydania decyzji.</w:t>
            </w:r>
          </w:p>
        </w:tc>
      </w:tr>
      <w:tr>
        <w:trPr>
          <w:trHeight w:val="272" w:hRule="atLeast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 się odwołać?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113" w:after="113"/>
              <w:jc w:val="both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Wnieść odwołanie od decyzji  w terminie 14 dni od daty jej doręczenia.</w:t>
            </w:r>
          </w:p>
        </w:tc>
      </w:tr>
      <w:tr>
        <w:trPr>
          <w:trHeight w:val="272" w:hRule="atLeast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Informacje dodatkowe</w:t>
            </w:r>
          </w:p>
          <w:p>
            <w:pPr>
              <w:pStyle w:val="Normal"/>
              <w:widowControl w:val="false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Uprawnienie do skorygowania deklaracji ulega zawieszeniu w czasie trwania postępowania podatkowego lub kontroli podatkowej. Korekta złożona w tym czasie nie wywołuje skutków prawnych.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Prawo do złożenia korekty przysługuje nadal po zakończeniu kontroli podatkowej lub postępowania podatkowego – w zakresie nie objętym decyzją określającą wysokość zobowiązania podatkowego.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36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2" w:hRule="atLeast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Akty prawne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113" w:after="113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Ustawa Ordynacja podatkowa.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794" w:top="1049" w:footer="794" w:bottom="104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1z3">
    <w:name w:val="WW8Num1z3"/>
    <w:qFormat/>
    <w:rPr>
      <w:rFonts w:ascii="Symbol" w:hAnsi="Symbol" w:cs="OpenSymbol;Arial Unicode MS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Arial" w:hAnsi="Arial" w:cs="Arial"/>
      <w:sz w:val="20"/>
      <w:szCs w:val="20"/>
    </w:rPr>
  </w:style>
  <w:style w:type="character" w:styleId="WW8Num4z0">
    <w:name w:val="WW8Num4z0"/>
    <w:qFormat/>
    <w:rPr>
      <w:rFonts w:ascii="Arial" w:hAnsi="Arial" w:cs="Arial"/>
      <w:sz w:val="20"/>
      <w:szCs w:val="20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2z3">
    <w:name w:val="WW8Num2z3"/>
    <w:qFormat/>
    <w:rPr>
      <w:rFonts w:ascii="Symbol" w:hAnsi="Symbol" w:cs="OpenSymbol;Arial Unicode MS"/>
    </w:rPr>
  </w:style>
  <w:style w:type="character" w:styleId="Domylnaczcionkaakapitu3">
    <w:name w:val="Domyślna czcionka akapitu3"/>
    <w:qFormat/>
    <w:rPr/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4z3">
    <w:name w:val="WW8Num4z3"/>
    <w:qFormat/>
    <w:rPr>
      <w:rFonts w:ascii="Symbol" w:hAnsi="Symbol" w:cs="OpenSymbol;Arial Unicode M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Znakinumeracji">
    <w:name w:val="Znaki numeracji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NagwekZnak">
    <w:name w:val="Nagłówek Znak"/>
    <w:basedOn w:val="Domylnaczcionkaakapitu3"/>
    <w:qFormat/>
    <w:rPr>
      <w:rFonts w:ascii="Calibri" w:hAnsi="Calibri" w:eastAsia="Calibri" w:cs="Calibri"/>
      <w:sz w:val="22"/>
      <w:szCs w:val="22"/>
    </w:rPr>
  </w:style>
  <w:style w:type="character" w:styleId="StopkaZnak">
    <w:name w:val="Stopka Znak"/>
    <w:basedOn w:val="Domylnaczcionkaakapitu3"/>
    <w:qFormat/>
    <w:rPr>
      <w:rFonts w:ascii="Calibri" w:hAnsi="Calibri" w:eastAsia="Calibri" w:cs="Calibri"/>
      <w:sz w:val="22"/>
      <w:szCs w:val="22"/>
    </w:rPr>
  </w:style>
  <w:style w:type="character" w:styleId="TekstdymkaZnak">
    <w:name w:val="Tekst dymka Znak"/>
    <w:basedOn w:val="Domylnaczcionkaakapitu3"/>
    <w:qFormat/>
    <w:rPr>
      <w:rFonts w:ascii="Tahoma" w:hAnsi="Tahoma" w:eastAsia="Calibri" w:cs="Tahoma"/>
      <w:sz w:val="16"/>
      <w:szCs w:val="16"/>
    </w:rPr>
  </w:style>
  <w:style w:type="character" w:styleId="Czeinternetowe">
    <w:name w:val="Hyperlink"/>
    <w:basedOn w:val="Domylnaczcionkaakapitu"/>
    <w:rPr>
      <w:color w:val="0000FF"/>
      <w:u w:val="single"/>
    </w:rPr>
  </w:style>
  <w:style w:type="character" w:styleId="WWDomylnaczcionkaakapitu">
    <w:name w:val="WW-Domyślna czcionka akapitu"/>
    <w:qFormat/>
    <w:rPr/>
  </w:style>
  <w:style w:type="character" w:styleId="Domylnaczcionkaakapitu4">
    <w:name w:val="Domyślna czcionka akapitu4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3">
    <w:name w:val="Nagłówek3"/>
    <w:basedOn w:val="Normal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Podpis3">
    <w:name w:val="Podpis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2">
    <w:name w:val="Nagłówek2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21">
    <w:name w:val="Tekst podstawowy 21"/>
    <w:basedOn w:val="Normal"/>
    <w:qFormat/>
    <w:pPr>
      <w:snapToGrid w:val="false"/>
      <w:spacing w:lineRule="auto" w:line="240" w:before="120" w:after="0"/>
      <w:jc w:val="both"/>
    </w:pPr>
    <w:rPr>
      <w:rFonts w:ascii="Arial" w:hAnsi="Arial" w:cs="Arial"/>
      <w:sz w:val="20"/>
      <w:szCs w:val="20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pis4">
    <w:name w:val="Podpis4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4">
    <w:name w:val="Nagłówek4"/>
    <w:basedOn w:val="Normal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LibreOffice/7.4.2.3$Windows_X86_64 LibreOffice_project/382eef1f22670f7f4118c8c2dd222ec7ad009daf</Application>
  <AppVersion>15.0000</AppVersion>
  <Pages>1</Pages>
  <Words>351</Words>
  <Characters>2274</Characters>
  <CharactersWithSpaces>2603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2016-04-19T14:17:00Z</dcterms:created>
  <dc:creator>wasewa</dc:creator>
  <dc:description/>
  <dc:language>pl-PL</dc:language>
  <cp:lastModifiedBy/>
  <cp:lastPrinted>2023-09-25T17:21:10Z</cp:lastPrinted>
  <dcterms:modified xsi:type="dcterms:W3CDTF">2023-10-02T13:43:39Z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