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8B" w:rsidRDefault="0023308B" w:rsidP="0023308B">
      <w:pPr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ZAŁĄCZNIK NR 1</w:t>
      </w:r>
    </w:p>
    <w:p w:rsidR="00F518F2" w:rsidRDefault="00ED63C2" w:rsidP="0023308B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OPIS PRZEDMIOTU ZAMÓWIENIA</w:t>
      </w:r>
      <w:r w:rsidR="0023308B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(postępowanie podzielone na 3 części) </w:t>
      </w:r>
    </w:p>
    <w:p w:rsidR="00F518F2" w:rsidRDefault="00F518F2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518F2" w:rsidRDefault="00ED63C2">
      <w:pPr>
        <w:pStyle w:val="Akapitzlist"/>
        <w:numPr>
          <w:ilvl w:val="0"/>
          <w:numId w:val="1"/>
        </w:numPr>
        <w:spacing w:afterAutospacing="1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Rodzaj zamówienia: usługi</w:t>
      </w:r>
    </w:p>
    <w:p w:rsidR="00F518F2" w:rsidRDefault="00ED63C2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Kod i nazwa zamówienia według Wspólnego Słownika Zamówień (CPV): </w:t>
      </w:r>
    </w:p>
    <w:p w:rsidR="00F518F2" w:rsidRDefault="00ED63C2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71241000-9 – Studia wykonalności, usługi doradcze, analizy</w:t>
      </w:r>
    </w:p>
    <w:p w:rsidR="00F518F2" w:rsidRDefault="00ED63C2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71314300-5 – Usługi doradcze w zakresie wydajności energetycznej</w:t>
      </w:r>
    </w:p>
    <w:p w:rsidR="00F518F2" w:rsidRPr="0023308B" w:rsidRDefault="00F518F2" w:rsidP="0023308B">
      <w:p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Przedmiotem zamówienia jest wykonanie </w:t>
      </w:r>
      <w:r>
        <w:rPr>
          <w:rFonts w:cstheme="minorHAnsi"/>
          <w:b/>
        </w:rPr>
        <w:t>audytów energetycznych ex-</w:t>
      </w:r>
      <w:proofErr w:type="spellStart"/>
      <w:r>
        <w:rPr>
          <w:rFonts w:cstheme="minorHAnsi"/>
          <w:b/>
        </w:rPr>
        <w:t>ante</w:t>
      </w:r>
      <w:proofErr w:type="spellEnd"/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zwanych dalej „Audytami”, dla jednostek podlegających Izbie Administracji Skarbowej w Gdańsku. </w:t>
      </w:r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Audyty posłużą Zamawiającemu do aplikowania o fundusze unijne w ramach Programu Fundusze Europejskie na Infrastrukturę, Klimat, Środowisko 2021-2027 Priorytet FENX.01 Działanie FENX.01.01 Efektywność energetyczna pn. Poprawa efektywności energetycznej w budynkach użyteczności publicznej (wraz z instalacją OZE).</w:t>
      </w:r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Przedmiot zamówienia obejmuje opracowanie audytu energetycznego dla każdej jednostki odrębnie. Zamówienie zostało podzielone na trzy części, a każda z nich obejmuje cztery (4) jednostki.</w:t>
      </w:r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Audyt energetyczny ex-</w:t>
      </w:r>
      <w:proofErr w:type="spellStart"/>
      <w:r>
        <w:rPr>
          <w:rFonts w:cstheme="minorHAnsi"/>
        </w:rPr>
        <w:t>ante</w:t>
      </w:r>
      <w:proofErr w:type="spellEnd"/>
      <w:r>
        <w:rPr>
          <w:rFonts w:cstheme="minorHAnsi"/>
        </w:rPr>
        <w:t xml:space="preserve"> oznacza, że należy go wykonać przed ewentualną inwestycją </w:t>
      </w:r>
      <w:r>
        <w:rPr>
          <w:rFonts w:cstheme="minorHAnsi"/>
        </w:rPr>
        <w:br/>
        <w:t>i dokonać wyboru optymalnego wariantu planowanego przedsięwzięcia termomodernizacyjnego.</w:t>
      </w:r>
    </w:p>
    <w:p w:rsidR="00F518F2" w:rsidRDefault="00ED63C2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 ramach audytu należy zdefiniować zakres i parametry techniczne oraz ekonomiczne prac budowlanych ze wskazaniem wariantu rozwiązania optymalnego. Opracowana dokumentacja ma stanowić założenia do projektu budowlanego, w celu realizacji dalszych prac budowlanych.</w:t>
      </w:r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Wykonawca sporządzi dla każdego obiektu audyt energetyczny, zgodnie z wymogami Rozporządzenia Ministra Infrastruktury z dnia 17 marca 2009 r. w sprawie szczegółowego zakresu i form audytu energetycznego oraz części audytu remontowego, wzorów kart audytów, a także algorytmu oceny opłacalności przedsięwzięcia termo modernizacyjnego (Dz.U. 2009 Nr 43 poz. 346) oraz Rozporządzeniem Ministra Rozwoju i Technologii z dnia 15 grudnia 2022 r. zmieniającym rozporządzenie w sprawie szczegółowego zakresu i form audytu energetycznego oraz części audytu remontowego, wzorów kart audytów, a także algorytmu oceny opłacalności przedsięwzięcia termomodernizacyjnego (Dz.U. 2022 poz. 2816) oraz z wymogami programu (</w:t>
      </w:r>
      <w:proofErr w:type="spellStart"/>
      <w:r>
        <w:rPr>
          <w:rFonts w:cstheme="minorHAnsi"/>
        </w:rPr>
        <w:t>FEnIKS</w:t>
      </w:r>
      <w:proofErr w:type="spellEnd"/>
      <w:r>
        <w:rPr>
          <w:rFonts w:cstheme="minorHAnsi"/>
        </w:rPr>
        <w:t>).</w:t>
      </w:r>
    </w:p>
    <w:p w:rsidR="00F518F2" w:rsidRDefault="00ED63C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Dokumenty, które Wykonawca jest zobowiązany sporządzić muszą zostać wykonane zgodnie </w:t>
      </w:r>
      <w:r>
        <w:rPr>
          <w:rFonts w:cstheme="minorHAnsi"/>
        </w:rPr>
        <w:br/>
        <w:t>z umową, obowiązującymi przepisami (w szczególności techniczno-budowlanymi w rozumieniu ustawy Prawo budowlane), z zasadami współczesnej wiedzy technicznej, obowiązującymi normami oraz muszą być zgodne z aktualnymi aktami prawnymi.</w:t>
      </w:r>
    </w:p>
    <w:p w:rsidR="00F518F2" w:rsidRDefault="003C67A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Sporządzona</w:t>
      </w:r>
      <w:r w:rsidR="00ED63C2">
        <w:rPr>
          <w:rFonts w:asciiTheme="minorHAnsi" w:hAnsiTheme="minorHAnsi" w:cstheme="minorHAnsi"/>
          <w:sz w:val="22"/>
          <w:szCs w:val="22"/>
        </w:rPr>
        <w:t xml:space="preserve"> przez Wykonawcę dokumentacja musi zawierać optymalne rozwiązania z punktu widzenia warunków dofinansowania przedsięwzięcia w ramach przedmiotowego naboru projektów oraz wymagań na etapie składania wniosku o dofinansowanie.</w:t>
      </w:r>
    </w:p>
    <w:p w:rsidR="00F518F2" w:rsidRDefault="00F518F2">
      <w:pPr>
        <w:spacing w:after="0" w:line="240" w:lineRule="auto"/>
        <w:rPr>
          <w:rFonts w:asciiTheme="minorHAnsi" w:hAnsiTheme="minorHAnsi" w:cstheme="minorHAnsi"/>
          <w:b/>
        </w:rPr>
      </w:pPr>
    </w:p>
    <w:p w:rsidR="00F518F2" w:rsidRDefault="00ED63C2">
      <w:pPr>
        <w:spacing w:after="0" w:line="240" w:lineRule="auto"/>
        <w:rPr>
          <w:rFonts w:asciiTheme="minorHAnsi" w:hAnsiTheme="minorHAnsi" w:cstheme="minorHAnsi"/>
          <w:b/>
        </w:rPr>
      </w:pPr>
      <w:r>
        <w:br w:type="page"/>
      </w:r>
    </w:p>
    <w:p w:rsidR="00F518F2" w:rsidRDefault="00ED63C2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CZĘŚĆ I</w:t>
      </w:r>
    </w:p>
    <w:p w:rsidR="00F518F2" w:rsidRDefault="00ED63C2">
      <w:pPr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Tytuły projektów inwestycyjnych cz. I</w:t>
      </w:r>
    </w:p>
    <w:p w:rsidR="00F518F2" w:rsidRDefault="00ED63C2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</w:t>
      </w:r>
      <w:r>
        <w:rPr>
          <w:rFonts w:cstheme="minorHAnsi"/>
          <w:b/>
        </w:rPr>
        <w:t xml:space="preserve"> Bytowie</w:t>
      </w:r>
    </w:p>
    <w:p w:rsidR="00F518F2" w:rsidRDefault="00ED63C2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 Człuchowie</w:t>
      </w:r>
    </w:p>
    <w:p w:rsidR="00F518F2" w:rsidRDefault="00ED63C2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 Chojnicach</w:t>
      </w:r>
    </w:p>
    <w:p w:rsidR="00F518F2" w:rsidRDefault="00ED63C2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</w:rPr>
        <w:t>Pomorskiego Urzędu Celno-Skarbowego w Gdyni zlokalizowanego w Chojnicach</w:t>
      </w:r>
    </w:p>
    <w:p w:rsidR="00F518F2" w:rsidRDefault="00ED63C2">
      <w:pPr>
        <w:spacing w:before="24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Zakres rzeczowy projektów inwestycyjnych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>O</w:t>
      </w:r>
      <w:r>
        <w:rPr>
          <w:rFonts w:cstheme="minorHAnsi"/>
        </w:rPr>
        <w:t>cieplenie ścian zewnętrznych wraz z wykonaniem izolacji przeciwwilgociowej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Ocieplenie</w:t>
      </w:r>
      <w:r>
        <w:rPr>
          <w:rFonts w:cstheme="minorHAnsi"/>
        </w:rPr>
        <w:t xml:space="preserve"> dachu wraz z wymianą pokrycia dachowego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>Wymiana stolarki okiennej i drzwi zewnętrznych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instalacji centralnego ogrzewania, zmiana dotychczasowego sposobu ogrzewania – decyzja po otrzymaniu audytu energetycznego – np. dostawa pompy ciepła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instalacji c.w.u.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instalacji wentylacji mechanicznej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eastAsia="Times New Roman" w:cstheme="minorHAnsi"/>
          <w:lang w:eastAsia="pl-PL"/>
        </w:rPr>
        <w:t>Przebudowa instalacji klimatyzacji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 xml:space="preserve">Montaż instalacji fotowoltaicznej wraz z magazynem energii </w:t>
      </w:r>
    </w:p>
    <w:p w:rsidR="00F518F2" w:rsidRDefault="00ED63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 xml:space="preserve">Wymiana oświetlenia na energooszczędne: </w:t>
      </w:r>
      <w:r>
        <w:rPr>
          <w:rFonts w:cstheme="minorHAnsi"/>
        </w:rPr>
        <w:t>wymiana źródeł światła na energooszczędne oraz wymiana opraw oświetleniowych</w:t>
      </w:r>
    </w:p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Charakterystyka budynków</w:t>
      </w:r>
    </w:p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pStyle w:val="Akapitzlist"/>
        <w:numPr>
          <w:ilvl w:val="0"/>
          <w:numId w:val="2"/>
        </w:numPr>
        <w:tabs>
          <w:tab w:val="left" w:pos="284"/>
        </w:tabs>
        <w:spacing w:after="0" w:line="259" w:lineRule="auto"/>
        <w:ind w:left="0" w:hanging="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Bytowie</w:t>
      </w:r>
    </w:p>
    <w:p w:rsidR="00F518F2" w:rsidRDefault="00ED63C2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</w:t>
      </w:r>
      <w:r>
        <w:rPr>
          <w:rFonts w:cstheme="minorHAnsi"/>
        </w:rPr>
        <w:t>udynek administracyjno-biurowy przeznaczony na działalność statutową Urzędu Skarbowego w Bytowie. Obiekt składa się z dwóch części. W starej części budynek jest piętrowy z poddaszem użytkowym, podpiwniczony. Nowa dobudowana część budynku o dwóch kondygnacjach naziemne oraz jednej podziemnej.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7"/>
        <w:gridCol w:w="4251"/>
      </w:tblGrid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1938 r., rok rozbudowy 1995 r.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1 668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zabudowy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425,81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całkowita netto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1 175,32</w:t>
            </w:r>
            <w:r>
              <w:rPr>
                <w:rFonts w:cstheme="minorHAnsi"/>
                <w:vertAlign w:val="superscript"/>
              </w:rPr>
              <w:t xml:space="preserve">  </w:t>
            </w:r>
            <w:r>
              <w:rPr>
                <w:rFonts w:cstheme="minorHAnsi"/>
              </w:rPr>
              <w:t>m²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</w:t>
            </w:r>
            <w:r>
              <w:rPr>
                <w:rFonts w:cstheme="minorHAnsi"/>
              </w:rPr>
              <w:t>owierzchnia użytkowa podstawowa (biurowa)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456,80 m²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 starej części: 3 naziemne i 1 podziemna</w:t>
            </w:r>
          </w:p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 nowej części: 2 naziemne i 1 podziemna</w:t>
            </w:r>
          </w:p>
        </w:tc>
      </w:tr>
    </w:tbl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pStyle w:val="Akapitzlist"/>
        <w:numPr>
          <w:ilvl w:val="0"/>
          <w:numId w:val="2"/>
        </w:numPr>
        <w:tabs>
          <w:tab w:val="left" w:pos="284"/>
        </w:tabs>
        <w:spacing w:after="0" w:line="259" w:lineRule="auto"/>
        <w:ind w:left="0" w:hanging="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Człuchowie</w:t>
      </w:r>
    </w:p>
    <w:p w:rsidR="00F518F2" w:rsidRDefault="00ED63C2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Bud</w:t>
      </w:r>
      <w:r>
        <w:rPr>
          <w:rFonts w:cstheme="minorHAnsi"/>
        </w:rPr>
        <w:t xml:space="preserve">ynek biurowo-magazynowy przeznaczony na działalność statutową Urzędu Skarbowego w Człuchowie. Obiekt </w:t>
      </w:r>
      <w:r>
        <w:rPr>
          <w:rFonts w:eastAsia="Times New Roman" w:cstheme="minorHAnsi"/>
          <w:bCs/>
          <w:lang w:eastAsia="pl-PL"/>
        </w:rPr>
        <w:t>wolnostojący, 2 kondygnacyjny, bez podpiwniczenia. Dach konstrukcji drewnianej na płatwiach stalowych (wzorowana na układzie płatwiowo-kleszczowym). Dach czterospadowy z wysuniętymi facjatkami prostymi i jedną trójkątną.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7"/>
        <w:gridCol w:w="4251"/>
      </w:tblGrid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1993 r.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1 714,00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zabudowy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532,60  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lastRenderedPageBreak/>
              <w:t>powierzchnia całkowita netto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1 035,72 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</w:t>
            </w:r>
            <w:r>
              <w:rPr>
                <w:rFonts w:cstheme="minorHAnsi"/>
              </w:rPr>
              <w:t>owierzchnia użytkowa podstawowa (biurowa)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458,05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liczba kondygnacji (w starej części budynku)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pStyle w:val="Akapitzlist"/>
        <w:numPr>
          <w:ilvl w:val="0"/>
          <w:numId w:val="2"/>
        </w:numPr>
        <w:tabs>
          <w:tab w:val="left" w:pos="284"/>
        </w:tabs>
        <w:spacing w:after="0" w:line="259" w:lineRule="auto"/>
        <w:ind w:left="0" w:hanging="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Chojnicach</w:t>
      </w:r>
    </w:p>
    <w:p w:rsidR="00F518F2" w:rsidRDefault="00ED63C2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cstheme="minorHAnsi"/>
        </w:rPr>
        <w:t xml:space="preserve">Budynek biurowo-magazynowy przeznaczony na działalność statutową Urzędu Skarbowego </w:t>
      </w:r>
      <w:r>
        <w:rPr>
          <w:rFonts w:cstheme="minorHAnsi"/>
        </w:rPr>
        <w:br/>
        <w:t xml:space="preserve">w Chojnicach. Obiekt oparty jest na planie litery „U” z wewnętrznym dziedzińcem, jedno skrzydło stanowi budynek zabytkowy, drugie część nowo wybudowaną. Skrzydło zabytkowe budynku </w:t>
      </w:r>
      <w:r>
        <w:rPr>
          <w:rFonts w:cstheme="minorHAnsi"/>
          <w:bCs/>
        </w:rPr>
        <w:t>Skrzydło zabytkowe</w:t>
      </w:r>
      <w:r>
        <w:rPr>
          <w:rFonts w:cstheme="minorHAnsi"/>
        </w:rPr>
        <w:t xml:space="preserve"> o 3 kondygnacjach z mansardą i poddaszem gospodarczym oraz piwnicą, dachem wielospadowym o konstrukcji drewnianej, kryty dachówką karpiówką w łuskę - wpisane jest do Gminnej Ewidencji Zabytków Miasta Chojnice. </w:t>
      </w:r>
      <w:r>
        <w:rPr>
          <w:rFonts w:cstheme="minorHAnsi"/>
          <w:bCs/>
        </w:rPr>
        <w:t>Skrzydło nowe</w:t>
      </w:r>
      <w:r>
        <w:rPr>
          <w:rFonts w:cstheme="minorHAnsi"/>
        </w:rPr>
        <w:t xml:space="preserve"> o 4 kondygnacjach użytkowych oraz piwnicą, rzucie w kształcie litery „L”. Dach mansardowy, zachowujący kąty dachu sąsiedniego, o konstrukcji łączonej – stalowo – drewnianej, kryty dachówką karpiówką w łuskę.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7"/>
        <w:gridCol w:w="4251"/>
      </w:tblGrid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1900 r., rok rozbudowy 2003 r.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1 678 m2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zabudowy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632,70  m2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całkowita netto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2 272,50 m2    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</w:t>
            </w:r>
            <w:r>
              <w:rPr>
                <w:rFonts w:cstheme="minorHAnsi"/>
              </w:rPr>
              <w:t>owierzchnia użytkowa podstawowa (biurowa)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712,70 m2</w:t>
            </w:r>
          </w:p>
        </w:tc>
      </w:tr>
      <w:tr w:rsidR="00F518F2"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 starej części: 3, poddasze gosp., piwnica</w:t>
            </w:r>
          </w:p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 nowej części: 4 (w tym poddasze), piwnica</w:t>
            </w:r>
          </w:p>
        </w:tc>
      </w:tr>
    </w:tbl>
    <w:p w:rsidR="00F518F2" w:rsidRDefault="00F518F2">
      <w:pPr>
        <w:spacing w:after="0" w:line="259" w:lineRule="auto"/>
        <w:rPr>
          <w:rFonts w:asciiTheme="minorHAnsi" w:hAnsiTheme="minorHAnsi" w:cstheme="minorHAnsi"/>
          <w:b/>
          <w:shd w:val="clear" w:color="auto" w:fill="FFFFFF"/>
        </w:rPr>
      </w:pPr>
    </w:p>
    <w:p w:rsidR="00F518F2" w:rsidRDefault="00ED63C2">
      <w:pPr>
        <w:pStyle w:val="Akapitzlist"/>
        <w:numPr>
          <w:ilvl w:val="0"/>
          <w:numId w:val="2"/>
        </w:numPr>
        <w:tabs>
          <w:tab w:val="left" w:pos="284"/>
        </w:tabs>
        <w:spacing w:after="0" w:line="259" w:lineRule="auto"/>
        <w:ind w:left="0" w:hanging="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Budynek PUCS w Gdyni zlokalizowany w Chojnicach</w:t>
      </w:r>
    </w:p>
    <w:p w:rsidR="00F518F2" w:rsidRDefault="00ED63C2">
      <w:pPr>
        <w:spacing w:line="240" w:lineRule="auto"/>
        <w:ind w:left="284"/>
        <w:jc w:val="both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cstheme="minorHAnsi"/>
        </w:rPr>
        <w:t>Budynek biurowo-magazynowy przeznaczony na działalność statutową Pomorskiego Urzędu Celno-Skarbowego w Gdyni. Obiekt w części dwukondygnacyjny wraz z piwnicą użytkową oraz w części j</w:t>
      </w:r>
      <w:r w:rsidR="0023308B">
        <w:rPr>
          <w:rFonts w:cstheme="minorHAnsi"/>
        </w:rPr>
        <w:t xml:space="preserve">ednokondygnacyjny bez piwnicy. </w:t>
      </w:r>
      <w:r>
        <w:rPr>
          <w:rFonts w:cstheme="minorHAnsi"/>
        </w:rPr>
        <w:t>W części wyższej dach czterospadowy, w części niższej trzyspadowy kryty blacho dachówką.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7"/>
        <w:gridCol w:w="4251"/>
      </w:tblGrid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1977r., rok rozbudowy 2001 r.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13 856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zabudowy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796,00 </w:t>
            </w: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całkowita netto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1 614,30 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</w:t>
            </w:r>
            <w:r>
              <w:rPr>
                <w:rFonts w:cstheme="minorHAnsi"/>
              </w:rPr>
              <w:t>owierzchnia użytkowa podstawowa (biurowa)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367,00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spacing w:before="24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CZĘŚĆ II</w:t>
      </w:r>
    </w:p>
    <w:p w:rsidR="00F518F2" w:rsidRDefault="00ED63C2">
      <w:pPr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Tytuły projektów inwestycyjnych cz. II</w:t>
      </w:r>
    </w:p>
    <w:p w:rsidR="00F518F2" w:rsidRDefault="00ED63C2">
      <w:pPr>
        <w:pStyle w:val="Akapitzlist"/>
        <w:numPr>
          <w:ilvl w:val="0"/>
          <w:numId w:val="5"/>
        </w:numPr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</w:t>
      </w:r>
      <w:r>
        <w:rPr>
          <w:rFonts w:cstheme="minorHAnsi"/>
          <w:b/>
        </w:rPr>
        <w:t xml:space="preserve"> Lęborku</w:t>
      </w:r>
    </w:p>
    <w:p w:rsidR="00F518F2" w:rsidRDefault="00ED63C2">
      <w:pPr>
        <w:pStyle w:val="Akapitzlist"/>
        <w:numPr>
          <w:ilvl w:val="0"/>
          <w:numId w:val="5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 Słupsku</w:t>
      </w:r>
    </w:p>
    <w:p w:rsidR="00F518F2" w:rsidRDefault="00ED63C2">
      <w:pPr>
        <w:pStyle w:val="Akapitzlist"/>
        <w:numPr>
          <w:ilvl w:val="0"/>
          <w:numId w:val="5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II Urzędu Skarbowego w Gdańsku</w:t>
      </w:r>
    </w:p>
    <w:p w:rsidR="00F518F2" w:rsidRDefault="00ED63C2">
      <w:pPr>
        <w:pStyle w:val="Akapitzlist"/>
        <w:numPr>
          <w:ilvl w:val="0"/>
          <w:numId w:val="5"/>
        </w:numPr>
        <w:spacing w:after="0" w:line="259" w:lineRule="auto"/>
        <w:ind w:left="284" w:hanging="284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</w:rPr>
        <w:t>Izby Administracji Skarbowej w Gdańsku zlokalizowanego we Władysławowie</w:t>
      </w:r>
      <w:r>
        <w:rPr>
          <w:rFonts w:cstheme="minorHAnsi"/>
          <w:bCs/>
          <w:u w:val="single"/>
        </w:rPr>
        <w:t xml:space="preserve"> </w:t>
      </w:r>
    </w:p>
    <w:p w:rsidR="00F518F2" w:rsidRDefault="00ED63C2">
      <w:pPr>
        <w:spacing w:before="24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lastRenderedPageBreak/>
        <w:t>Zakres rzeczowy projektów inwestycyjnych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>O</w:t>
      </w:r>
      <w:r>
        <w:rPr>
          <w:rFonts w:cstheme="minorHAnsi"/>
        </w:rPr>
        <w:t>cieplenie ścian zewnętrznych wraz z wykonaniem izolacji przeciwwilgociowej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Ocieplenie</w:t>
      </w:r>
      <w:r>
        <w:rPr>
          <w:rFonts w:cstheme="minorHAnsi"/>
        </w:rPr>
        <w:t xml:space="preserve"> dachu wraz z wymianą pokrycia dachowego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>Wymiana stolarki okiennej i drzwi zewnętrznych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instalacji centralnego ogrzewania, zmiana dotychczasowego sposobu ogrzewania – decyzja po otrzymaniu audytu energetycznego – np. dostawa pompy ciepła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instalacji c.w.u.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eastAsia="Times New Roman" w:cstheme="minorHAnsi"/>
          <w:lang w:eastAsia="pl-PL"/>
        </w:rPr>
        <w:t>Przebudowa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instalacji wentylacji mechanicznej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eastAsia="Times New Roman" w:cstheme="minorHAnsi"/>
          <w:lang w:eastAsia="pl-PL"/>
        </w:rPr>
        <w:t>Przebudowa instalacji klimatyzacji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mallCaps/>
        </w:rPr>
      </w:pPr>
      <w:r>
        <w:rPr>
          <w:rFonts w:eastAsia="Times New Roman" w:cstheme="minorHAnsi"/>
          <w:lang w:eastAsia="pl-PL"/>
        </w:rPr>
        <w:t xml:space="preserve">Montaż instalacji fotowoltaicznej wraz z magazynem energii </w:t>
      </w:r>
    </w:p>
    <w:p w:rsidR="00F518F2" w:rsidRDefault="00ED63C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lang w:eastAsia="pl-PL"/>
        </w:rPr>
        <w:t xml:space="preserve">Wymiana oświetlenia na energooszczędne: </w:t>
      </w:r>
      <w:r>
        <w:rPr>
          <w:rFonts w:cstheme="minorHAnsi"/>
        </w:rPr>
        <w:t>wymiana źródeł światła na energooszczędne oraz wymiana opraw oświetleniowych</w:t>
      </w:r>
    </w:p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Charakterystyka budynków</w:t>
      </w:r>
    </w:p>
    <w:p w:rsidR="00F518F2" w:rsidRDefault="00F518F2">
      <w:pPr>
        <w:spacing w:after="0"/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Lęborku</w:t>
      </w:r>
    </w:p>
    <w:p w:rsidR="00F518F2" w:rsidRDefault="00ED63C2">
      <w:pPr>
        <w:spacing w:line="240" w:lineRule="auto"/>
        <w:ind w:left="284"/>
        <w:jc w:val="both"/>
        <w:rPr>
          <w:rFonts w:asciiTheme="minorHAnsi" w:hAnsiTheme="minorHAnsi" w:cstheme="minorHAnsi"/>
          <w:highlight w:val="yellow"/>
        </w:rPr>
      </w:pPr>
      <w:r>
        <w:rPr>
          <w:rFonts w:cstheme="minorHAnsi"/>
        </w:rPr>
        <w:t xml:space="preserve">Budynek administracyjno-biurowy przeznaczony na działalność statutową Urzędu Skarbowego </w:t>
      </w:r>
      <w:r>
        <w:rPr>
          <w:rFonts w:cstheme="minorHAnsi"/>
        </w:rPr>
        <w:br/>
        <w:t>w Lęborku. Obiekt trzykondygnacyjny, posiada dwie kondygnacje naziemne oraz jedną podziemną. Budynek wybudowany w konstrukcji mieszanej, murowano-żelbetowej. Dach pokryty papą termozgrzewalną.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58"/>
        <w:gridCol w:w="4030"/>
      </w:tblGrid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1985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4 351,00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powierzchnia zabudowy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1 010,05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powierzchnia całkowita netto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1 349,54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</w:t>
            </w:r>
            <w:r>
              <w:rPr>
                <w:rFonts w:cstheme="minorHAnsi"/>
              </w:rPr>
              <w:t>owierzchnia użytkowa podstawowa (biurowa)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740,82 m²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F518F2" w:rsidRDefault="00F518F2">
      <w:pPr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Słupsku</w:t>
      </w:r>
    </w:p>
    <w:p w:rsidR="00F518F2" w:rsidRDefault="00ED63C2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Budynek administracyjno-biurowy przeznaczony na działalność statutową Urzędu Skarbowego w Słupsku. </w:t>
      </w:r>
      <w:r>
        <w:rPr>
          <w:rFonts w:cstheme="minorHAnsi"/>
          <w:color w:val="000000"/>
          <w:shd w:val="clear" w:color="auto" w:fill="FFFFFF"/>
        </w:rPr>
        <w:t xml:space="preserve">Obiekt siedmiokondygnacyjny wysoki, w części sali obsługi klienta dwukondygnacyjny, podpiwniczonym z dachem płaskim. Konstrukcja budynku tradycyjna, stropy kanałowe żelbetowe, ściany murowane z gazobetonu oraz cegły. Fundamenty betonowe i żelbetowe. Ściany zewnętrzne o konstrukcji murowanej, częściowo z prefabrykowanych płyt żelbetowych. Ściany wewnętrzne o konstrukcji murowanej z cegły lub gazobetonu. 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58"/>
        <w:gridCol w:w="4030"/>
      </w:tblGrid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1967-1990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6 642,00 m2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1 462,22 m2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5 104,15 m2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1 891,67 m2</w:t>
            </w:r>
          </w:p>
        </w:tc>
      </w:tr>
      <w:tr w:rsidR="00F518F2">
        <w:trPr>
          <w:trHeight w:val="397"/>
        </w:trPr>
        <w:tc>
          <w:tcPr>
            <w:tcW w:w="4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4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:rsidR="00F518F2" w:rsidRDefault="00F518F2">
      <w:pPr>
        <w:pStyle w:val="Akapitzlist"/>
        <w:tabs>
          <w:tab w:val="left" w:pos="284"/>
        </w:tabs>
        <w:spacing w:after="0" w:line="259" w:lineRule="auto"/>
        <w:ind w:left="0"/>
        <w:rPr>
          <w:rFonts w:asciiTheme="minorHAnsi" w:hAnsiTheme="minorHAnsi" w:cstheme="minorHAnsi"/>
          <w:b/>
        </w:rPr>
      </w:pPr>
    </w:p>
    <w:p w:rsidR="0023308B" w:rsidRDefault="0023308B">
      <w:pPr>
        <w:pStyle w:val="Akapitzlist"/>
        <w:tabs>
          <w:tab w:val="left" w:pos="284"/>
        </w:tabs>
        <w:spacing w:after="0" w:line="259" w:lineRule="auto"/>
        <w:ind w:left="0"/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II Urząd Skarbowy w Gdańsku</w:t>
      </w:r>
    </w:p>
    <w:p w:rsidR="00F518F2" w:rsidRDefault="00ED63C2">
      <w:pPr>
        <w:spacing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Budynek administracyjno-biurowy przeznaczony na działalność statutową II Urzędu Skarbowego </w:t>
      </w:r>
      <w:r>
        <w:rPr>
          <w:rFonts w:cstheme="minorHAnsi"/>
        </w:rPr>
        <w:br/>
        <w:t xml:space="preserve">w Gdańsku. Na obiekt składają się: budynek sześciopiętrowy z podpiwniczeniem, pawilon parterowy z podpiwniczeniem oraz łącznik trzypiętrowy z podpiwniczeniem. W budynku </w:t>
      </w:r>
      <w:r>
        <w:rPr>
          <w:rFonts w:cstheme="minorHAnsi"/>
        </w:rPr>
        <w:br/>
        <w:t>6-piętrowym znajduje się jedna klatka schodowa z windą. W pawilonie parterowym znajduje się sala operacyjna z zapleczem oraz dodatkowa klatka schodowa.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1977r., rok rozbudowy 2001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3 065,00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1 050,96 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3 912,94 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1 719,50 </w:t>
            </w: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liczba kondygnacji 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:rsidR="00F518F2" w:rsidRDefault="00F518F2">
      <w:pPr>
        <w:pStyle w:val="Akapitzlist"/>
        <w:tabs>
          <w:tab w:val="left" w:pos="284"/>
        </w:tabs>
        <w:spacing w:after="0" w:line="259" w:lineRule="auto"/>
        <w:ind w:left="0"/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Budynek IAS w Gdańsku zlokalizowany we Władysławowie</w:t>
      </w:r>
    </w:p>
    <w:p w:rsidR="00F518F2" w:rsidRDefault="00ED63C2">
      <w:pPr>
        <w:spacing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Budynek 2-piętrowy, posadowiony na ławach żelbetowych na drewnianych palach zabitych do warstwy nośnej gruntu. Ściany budynku murowane wykonane z cegły pełnej na zaprawie cementowo-wapiennej. Budynek dobudowanego pawilonu posadowiony jest na ramie żelbetowej.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1950 r. , rok rozbudowy 2002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2430</w:t>
            </w:r>
            <w:r>
              <w:rPr>
                <w:rFonts w:cstheme="minorHAnsi"/>
              </w:rPr>
              <w:t xml:space="preserve">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1 462,22 </w:t>
            </w: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853,54 </w:t>
            </w:r>
            <w:r>
              <w:rPr>
                <w:rFonts w:cstheme="minorHAnsi"/>
                <w:color w:val="000000"/>
                <w:shd w:val="clear" w:color="auto" w:fill="FFFFFF"/>
              </w:rPr>
              <w:t>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68,26 </w:t>
            </w: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liczba kondygnacji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</w:p>
        </w:tc>
      </w:tr>
    </w:tbl>
    <w:p w:rsidR="00F518F2" w:rsidRDefault="00F518F2">
      <w:pPr>
        <w:spacing w:after="0"/>
        <w:rPr>
          <w:rFonts w:asciiTheme="minorHAnsi" w:hAnsiTheme="minorHAnsi" w:cstheme="minorHAnsi"/>
          <w:b/>
        </w:rPr>
      </w:pPr>
    </w:p>
    <w:p w:rsidR="00F518F2" w:rsidRDefault="00ED63C2">
      <w:pPr>
        <w:spacing w:before="240" w:after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CZĘŚĆ III</w:t>
      </w:r>
    </w:p>
    <w:p w:rsidR="00F518F2" w:rsidRDefault="00F518F2">
      <w:pPr>
        <w:spacing w:after="0"/>
        <w:rPr>
          <w:rFonts w:asciiTheme="minorHAnsi" w:hAnsiTheme="minorHAnsi" w:cstheme="minorHAnsi"/>
          <w:bCs/>
          <w:sz w:val="16"/>
          <w:szCs w:val="16"/>
          <w:u w:val="single"/>
        </w:rPr>
      </w:pPr>
    </w:p>
    <w:p w:rsidR="00F518F2" w:rsidRDefault="00ED63C2">
      <w:pPr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Tytuły projektów inwestycyjnych cz. III</w:t>
      </w:r>
    </w:p>
    <w:p w:rsidR="00F518F2" w:rsidRDefault="00ED63C2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I Urzędu Skarbowego w Gdańsku</w:t>
      </w:r>
    </w:p>
    <w:p w:rsidR="00F518F2" w:rsidRDefault="00ED63C2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 Kartuzach</w:t>
      </w:r>
    </w:p>
    <w:p w:rsidR="00F518F2" w:rsidRDefault="00ED63C2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  <w:bCs/>
        </w:rPr>
        <w:t>Urzędu Skarbowego w Malborku</w:t>
      </w:r>
    </w:p>
    <w:p w:rsidR="00F518F2" w:rsidRDefault="00ED63C2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Poprawa efektywności energetycznej budynku </w:t>
      </w:r>
      <w:r>
        <w:rPr>
          <w:rFonts w:cstheme="minorHAnsi"/>
          <w:b/>
        </w:rPr>
        <w:t>Pomorskiego Urzędu Celno-Skarbowy w Gdyni</w:t>
      </w:r>
    </w:p>
    <w:p w:rsidR="00F518F2" w:rsidRDefault="00ED63C2">
      <w:pPr>
        <w:spacing w:before="24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t>Zakres rzeczowy projektów inwestycyjnych</w:t>
      </w:r>
    </w:p>
    <w:p w:rsidR="00F518F2" w:rsidRDefault="00ED63C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mallCaps/>
        </w:rPr>
      </w:pPr>
      <w:r>
        <w:rPr>
          <w:rFonts w:eastAsia="Times New Roman" w:cstheme="minorHAnsi"/>
          <w:bCs/>
          <w:lang w:eastAsia="pl-PL"/>
        </w:rPr>
        <w:t xml:space="preserve">Montaż instalacji fotowoltaicznej wraz z magazynem energii </w:t>
      </w:r>
    </w:p>
    <w:p w:rsidR="00F518F2" w:rsidRDefault="00ED63C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eastAsia="Times New Roman" w:cstheme="minorHAnsi"/>
          <w:bCs/>
          <w:lang w:eastAsia="pl-PL"/>
        </w:rPr>
        <w:t xml:space="preserve">Wymiana oświetlenia na energooszczędne - </w:t>
      </w:r>
      <w:r>
        <w:rPr>
          <w:rFonts w:cstheme="minorHAnsi"/>
          <w:bCs/>
        </w:rPr>
        <w:t xml:space="preserve">wymiana źródeł światła na energooszczędne oraz wymiana opraw oświetleniowych. </w:t>
      </w:r>
    </w:p>
    <w:p w:rsidR="00F518F2" w:rsidRDefault="00ED63C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Wymiana windy na energooszczędną</w:t>
      </w:r>
    </w:p>
    <w:p w:rsidR="00F518F2" w:rsidRDefault="00ED63C2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>
        <w:br w:type="page"/>
      </w:r>
    </w:p>
    <w:p w:rsidR="00F518F2" w:rsidRDefault="00ED63C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  <w:u w:val="single"/>
        </w:rPr>
        <w:lastRenderedPageBreak/>
        <w:t>Charakterystyka budynków</w:t>
      </w:r>
    </w:p>
    <w:p w:rsidR="00F518F2" w:rsidRDefault="00F518F2">
      <w:pPr>
        <w:spacing w:after="0" w:line="259" w:lineRule="auto"/>
        <w:rPr>
          <w:rFonts w:asciiTheme="minorHAnsi" w:hAnsiTheme="minorHAnsi" w:cstheme="minorHAnsi"/>
          <w:bCs/>
          <w:u w:val="single"/>
        </w:rPr>
      </w:pPr>
    </w:p>
    <w:p w:rsidR="00F518F2" w:rsidRDefault="00ED63C2">
      <w:pPr>
        <w:pStyle w:val="Akapitzlist"/>
        <w:numPr>
          <w:ilvl w:val="0"/>
          <w:numId w:val="9"/>
        </w:numPr>
        <w:tabs>
          <w:tab w:val="left" w:pos="318"/>
        </w:tabs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I Urząd Skarbowy w Gdańsku</w:t>
      </w:r>
    </w:p>
    <w:p w:rsidR="00F518F2" w:rsidRDefault="00ED63C2">
      <w:pPr>
        <w:tabs>
          <w:tab w:val="left" w:pos="318"/>
        </w:tabs>
        <w:spacing w:line="259" w:lineRule="auto"/>
        <w:ind w:left="284"/>
        <w:jc w:val="both"/>
        <w:rPr>
          <w:rFonts w:asciiTheme="minorHAnsi" w:hAnsiTheme="minorHAnsi" w:cstheme="minorHAnsi"/>
          <w:color w:val="00B050"/>
        </w:rPr>
      </w:pPr>
      <w:r>
        <w:rPr>
          <w:rFonts w:cstheme="minorHAnsi"/>
        </w:rPr>
        <w:t xml:space="preserve">Budynek biurowo-administracyjny przeznaczony na działalność statutową I Urzędu Skarbowego </w:t>
      </w:r>
      <w:r>
        <w:rPr>
          <w:rFonts w:cstheme="minorHAnsi"/>
        </w:rPr>
        <w:br/>
        <w:t>w Gdańsku. Obiekt o czterech kondygnacjach naziemnych. Budynek wybudowany w konstrukcji mieszanej, stropodach płaski.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1961 r., rok rozbudowy 2002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2 523 m²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1 866,10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5 690,18 m²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2 495,99 m²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liczba kondygnacji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F518F2" w:rsidRDefault="00F518F2">
      <w:pPr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9"/>
        </w:numPr>
        <w:tabs>
          <w:tab w:val="left" w:pos="318"/>
        </w:tabs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Kartuzach</w:t>
      </w:r>
    </w:p>
    <w:p w:rsidR="00F518F2" w:rsidRDefault="00ED63C2">
      <w:pPr>
        <w:tabs>
          <w:tab w:val="left" w:pos="318"/>
        </w:tabs>
        <w:spacing w:line="259" w:lineRule="auto"/>
        <w:ind w:left="284"/>
        <w:jc w:val="both"/>
        <w:rPr>
          <w:rFonts w:asciiTheme="minorHAnsi" w:hAnsiTheme="minorHAnsi" w:cstheme="minorHAnsi"/>
          <w:spacing w:val="-4"/>
        </w:rPr>
      </w:pPr>
      <w:r>
        <w:rPr>
          <w:rFonts w:cstheme="minorHAnsi"/>
        </w:rPr>
        <w:t>Budynek</w:t>
      </w:r>
      <w:r>
        <w:rPr>
          <w:rFonts w:cstheme="minorHAnsi"/>
          <w:spacing w:val="-4"/>
        </w:rPr>
        <w:t xml:space="preserve"> administracyjno-biurowy przeznaczony na działalność statutową Urzędu Skarbowego </w:t>
      </w:r>
      <w:r>
        <w:rPr>
          <w:rFonts w:cstheme="minorHAnsi"/>
          <w:spacing w:val="-4"/>
        </w:rPr>
        <w:br/>
        <w:t>w Kartuzach</w:t>
      </w:r>
      <w:r>
        <w:rPr>
          <w:rFonts w:cstheme="minorHAnsi"/>
        </w:rPr>
        <w:t xml:space="preserve">. </w:t>
      </w:r>
      <w:r>
        <w:rPr>
          <w:rFonts w:cstheme="minorHAnsi"/>
          <w:spacing w:val="-4"/>
        </w:rPr>
        <w:t>Obiekt składa się z części o trzech kondygnacjach naziemnych, parterowej sali obsługi klienta oraz części o dwóch kondygnacjach naziemnych z podpiwniczeniem. Dach wielospadowy pokryty blachodachówką, w części parterowej kryty papą termozgrzewalną.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1962 r., rok rozbudowy 2011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4 050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1 196,42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2 341,06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887,19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liczba kondygnacji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F518F2" w:rsidRDefault="00F518F2">
      <w:pPr>
        <w:pStyle w:val="Akapitzlist"/>
        <w:tabs>
          <w:tab w:val="left" w:pos="318"/>
        </w:tabs>
        <w:spacing w:after="0" w:line="259" w:lineRule="auto"/>
        <w:ind w:left="284"/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9"/>
        </w:numPr>
        <w:tabs>
          <w:tab w:val="left" w:pos="318"/>
        </w:tabs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Urząd Skarbowy w Malborku</w:t>
      </w:r>
    </w:p>
    <w:p w:rsidR="00F518F2" w:rsidRDefault="00ED63C2">
      <w:pPr>
        <w:ind w:left="284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>Budynek</w:t>
      </w:r>
      <w:r>
        <w:rPr>
          <w:rFonts w:cstheme="minorHAnsi"/>
          <w:spacing w:val="-4"/>
        </w:rPr>
        <w:t xml:space="preserve"> administracyjno-biurowy przeznaczony na działalność statutową Urzędu Skarbowego </w:t>
      </w:r>
      <w:r>
        <w:rPr>
          <w:rFonts w:cstheme="minorHAnsi"/>
          <w:spacing w:val="-4"/>
        </w:rPr>
        <w:br/>
        <w:t>w Malborku. Obiekt wybudowany na planie zbliżonym do litery „L”, o trzech kondygnacjach naziemnych, podpiwniczony. Budynek kryty dachem wielospadowym, kryty dachówką ceramiczną karpiówką w łuskę. Elewacja wykończona cegłą klinkierową.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1999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4 939,00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before="6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944,90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 ,317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1 236,00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liczba kondygnacji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F518F2" w:rsidRDefault="00F518F2">
      <w:pPr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9"/>
        </w:numPr>
        <w:tabs>
          <w:tab w:val="left" w:pos="318"/>
        </w:tabs>
        <w:spacing w:after="0" w:line="259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Pomorski Urząd Celno-Skarbowy Gdyni</w:t>
      </w:r>
    </w:p>
    <w:p w:rsidR="00F518F2" w:rsidRDefault="00ED63C2">
      <w:pPr>
        <w:tabs>
          <w:tab w:val="left" w:pos="318"/>
        </w:tabs>
        <w:spacing w:line="259" w:lineRule="auto"/>
        <w:ind w:left="284"/>
        <w:rPr>
          <w:rFonts w:asciiTheme="minorHAnsi" w:hAnsiTheme="minorHAnsi" w:cstheme="minorHAnsi"/>
          <w:color w:val="FF0000"/>
        </w:rPr>
      </w:pPr>
      <w:r>
        <w:rPr>
          <w:rFonts w:cstheme="minorHAnsi"/>
          <w:spacing w:val="-4"/>
        </w:rPr>
        <w:t>Budynek administracyjno-biurowy przeznaczony na działalność statutową pomorskiego urzędu celno-skarbowego</w:t>
      </w:r>
      <w:r>
        <w:rPr>
          <w:rFonts w:cstheme="minorHAnsi"/>
        </w:rPr>
        <w:t>. Obiekt o 5 kondygnacjach naziemnych, podpiwniczony. Stropodach płaski.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20"/>
        <w:gridCol w:w="3968"/>
      </w:tblGrid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rok 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2005 r.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działek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</w:rPr>
              <w:t>7 963,00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zabudowy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1 485,30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całkowita netto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7 807,83</w:t>
            </w:r>
            <w:r>
              <w:rPr>
                <w:rFonts w:cstheme="minorHAnsi"/>
                <w:vertAlign w:val="superscript"/>
              </w:rPr>
              <w:t xml:space="preserve">  </w:t>
            </w:r>
            <w:r>
              <w:rPr>
                <w:rFonts w:cstheme="minorHAnsi"/>
                <w:color w:val="000000"/>
                <w:shd w:val="clear" w:color="auto" w:fill="FFFFFF"/>
              </w:rPr>
              <w:t>m</w:t>
            </w:r>
            <w:r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powierzchnia użytkowa podstawowa (biurowa)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3 560,06 m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F518F2">
        <w:trPr>
          <w:trHeight w:val="397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liczba kondygnacji</w:t>
            </w: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18F2" w:rsidRDefault="00ED63C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:rsidR="00F518F2" w:rsidRDefault="00F518F2">
      <w:pPr>
        <w:rPr>
          <w:rFonts w:asciiTheme="minorHAnsi" w:hAnsiTheme="minorHAnsi" w:cstheme="minorHAnsi"/>
          <w:b/>
        </w:rPr>
      </w:pPr>
    </w:p>
    <w:p w:rsidR="00F518F2" w:rsidRDefault="00ED63C2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Przedstawiony zakres planowanych prac / założeń inwestycyjnych dla każdego projektu inwestycyjnego winien zostać zweryfikowany przez Wykonawcę podczas sporządzania audytu energetycznego oraz zgodnie z uzgodnieniami Zamawiającego. Na etapie opracowania audytu energetycznego konieczne będzie przeprowadzenie analizy zasadności zastosowania poszczególnych planowanych zakresów prac.</w:t>
      </w:r>
    </w:p>
    <w:p w:rsidR="00F518F2" w:rsidRDefault="00ED63C2">
      <w:pPr>
        <w:pStyle w:val="Akapitzlist"/>
        <w:numPr>
          <w:ilvl w:val="0"/>
          <w:numId w:val="1"/>
        </w:numPr>
        <w:spacing w:afterAutospacing="1"/>
        <w:ind w:left="284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Zapisy opracowanych audytów winny być dostosowane do specyfiki indywidualnych uwarunkowań lokalizacji zgłoszonego projektu inwestycyjnego.</w:t>
      </w:r>
    </w:p>
    <w:sectPr w:rsidR="00F518F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527"/>
    <w:multiLevelType w:val="multilevel"/>
    <w:tmpl w:val="B3EC0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F12339"/>
    <w:multiLevelType w:val="multilevel"/>
    <w:tmpl w:val="E0FC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145ED1"/>
    <w:multiLevelType w:val="multilevel"/>
    <w:tmpl w:val="5F7A5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8CB7DB9"/>
    <w:multiLevelType w:val="multilevel"/>
    <w:tmpl w:val="F95CCF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036485"/>
    <w:multiLevelType w:val="multilevel"/>
    <w:tmpl w:val="22BE4E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572198"/>
    <w:multiLevelType w:val="multilevel"/>
    <w:tmpl w:val="FC247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D12A7C"/>
    <w:multiLevelType w:val="multilevel"/>
    <w:tmpl w:val="0770D5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4C229F9"/>
    <w:multiLevelType w:val="multilevel"/>
    <w:tmpl w:val="BB24D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BAE4998"/>
    <w:multiLevelType w:val="multilevel"/>
    <w:tmpl w:val="3A5070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0B04DBA"/>
    <w:multiLevelType w:val="multilevel"/>
    <w:tmpl w:val="62245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DE6DC2"/>
    <w:multiLevelType w:val="multilevel"/>
    <w:tmpl w:val="DAAC7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2"/>
    <w:rsid w:val="0023308B"/>
    <w:rsid w:val="003C67A5"/>
    <w:rsid w:val="00A44E24"/>
    <w:rsid w:val="00ED63C2"/>
    <w:rsid w:val="00F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7698-C87F-48CE-B70B-7CEFE1D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6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D4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72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44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qFormat/>
    <w:rsid w:val="00EA404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D30F1"/>
    <w:rPr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D30F1"/>
    <w:rPr>
      <w:b/>
      <w:bCs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3D30F1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qFormat/>
    <w:locked/>
    <w:rsid w:val="00CC17B5"/>
    <w:rPr>
      <w:b/>
      <w:bCs/>
    </w:rPr>
  </w:style>
  <w:style w:type="character" w:customStyle="1" w:styleId="AkapitzlistZnak">
    <w:name w:val="Akapit z listą Znak"/>
    <w:link w:val="Akapitzlist"/>
    <w:qFormat/>
    <w:locked/>
    <w:rsid w:val="007929DC"/>
    <w:rPr>
      <w:rFonts w:cs="Calibri"/>
      <w:sz w:val="22"/>
      <w:szCs w:val="22"/>
      <w:lang w:eastAsia="en-US"/>
    </w:rPr>
  </w:style>
  <w:style w:type="character" w:customStyle="1" w:styleId="czeinternetowe">
    <w:name w:val="Łącze internetowe"/>
    <w:unhideWhenUsed/>
    <w:rsid w:val="006735A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0547B"/>
    <w:rPr>
      <w:rFonts w:cs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0547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62BB"/>
    <w:rPr>
      <w:rFonts w:ascii="Times New Roman" w:eastAsia="Lucida Sans Unicode" w:hAnsi="Times New Roman"/>
      <w:color w:val="00000A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7445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qFormat/>
    <w:rsid w:val="00472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4D4A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662BB"/>
    <w:pPr>
      <w:widowControl w:val="0"/>
      <w:spacing w:after="12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AB6CA9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A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EA40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EA404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47B"/>
    <w:pPr>
      <w:spacing w:after="0" w:line="240" w:lineRule="auto"/>
    </w:pPr>
    <w:rPr>
      <w:sz w:val="20"/>
      <w:szCs w:val="20"/>
    </w:rPr>
  </w:style>
  <w:style w:type="paragraph" w:customStyle="1" w:styleId="xmsonormal">
    <w:name w:val="x_msonormal"/>
    <w:basedOn w:val="Normalny"/>
    <w:qFormat/>
    <w:rsid w:val="004826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B113A"/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1B04CE"/>
    <w:rPr>
      <w:rFonts w:cs="Calibri"/>
      <w:sz w:val="22"/>
      <w:szCs w:val="22"/>
      <w:lang w:eastAsia="en-US"/>
    </w:rPr>
  </w:style>
  <w:style w:type="paragraph" w:styleId="Bezodstpw">
    <w:name w:val="No Spacing"/>
    <w:qFormat/>
    <w:rsid w:val="00B71795"/>
    <w:rPr>
      <w:rFonts w:ascii="Cambria" w:eastAsia="Cambria" w:hAnsi="Cambria" w:cs="Cambria"/>
      <w:kern w:val="2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B71795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C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ED1-F64E-446F-B8FB-B5E503B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ma na  celu przebudowę istniejącej instalacji sieci teleinformatycznej oraz sieci zasilania gwarantowanego</vt:lpstr>
    </vt:vector>
  </TitlesOfParts>
  <Company>350000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ma na  celu przebudowę istniejącej instalacji sieci teleinformatycznej oraz sieci zasilania gwarantowanego</dc:title>
  <dc:subject/>
  <dc:creator>Robert Kurpiel</dc:creator>
  <dc:description/>
  <cp:lastModifiedBy>Chojnacki Piotr 2</cp:lastModifiedBy>
  <cp:revision>49</cp:revision>
  <cp:lastPrinted>2023-10-09T10:15:00Z</cp:lastPrinted>
  <dcterms:created xsi:type="dcterms:W3CDTF">2023-10-08T20:20:00Z</dcterms:created>
  <dcterms:modified xsi:type="dcterms:W3CDTF">2023-10-09T11:59:00Z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UxC4dwLulzfINJ8nQH+xvX5LNGipWa4BRSZhPgxsCvmWA5GFjQq8o8W7sYSIRwKPg6zd2mTnmNFqW7G48jNrOg==</vt:lpwstr>
  </property>
  <property fmtid="{D5CDD505-2E9C-101B-9397-08002B2CF9AE}" pid="4" name="MFClassificationDate">
    <vt:lpwstr>2022-01-12T08:45:36.7467986+01:00</vt:lpwstr>
  </property>
  <property fmtid="{D5CDD505-2E9C-101B-9397-08002B2CF9AE}" pid="5" name="MFClassifiedBySID">
    <vt:lpwstr>UxC4dwLulzfINJ8nQH+xvX5LNGipWa4BRSZhPgxsCvm42mrIC/DSDv0ggS+FjUN/2v1BBotkLlY5aAiEhoi6uU7AOElvBfeItIiT+JXs5vGtxSmceUUsXoHdXWUfOMTL</vt:lpwstr>
  </property>
  <property fmtid="{D5CDD505-2E9C-101B-9397-08002B2CF9AE}" pid="6" name="MFGRNItemId">
    <vt:lpwstr>GRN-65b51414-df18-43f1-a55c-b926ac670263</vt:lpwstr>
  </property>
  <property fmtid="{D5CDD505-2E9C-101B-9397-08002B2CF9AE}" pid="7" name="MFHash">
    <vt:lpwstr>xGg8em/7gK1s23O1wDunf1+eQ6BHzvYh+Dzog3UPZso=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