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/>
      </w:pPr>
      <w:r>
        <w:rPr>
          <w:b/>
        </w:rPr>
        <w:t xml:space="preserve">STAN SPRAW </w:t>
      </w:r>
    </w:p>
    <w:p>
      <w:pPr>
        <w:pStyle w:val="Normal"/>
        <w:jc w:val="center"/>
        <w:rPr/>
      </w:pPr>
      <w:r>
        <w:rPr>
          <w:b/>
        </w:rPr>
        <w:t>W POMORSKIM URZĘDZIE SKARBOWYM W GDAŃSKU</w:t>
      </w:r>
    </w:p>
    <w:p>
      <w:pPr>
        <w:pStyle w:val="Normal"/>
        <w:jc w:val="center"/>
        <w:rPr/>
      </w:pPr>
      <w:r>
        <w:rPr>
          <w:rFonts w:cs="Arial"/>
          <w:b/>
          <w:sz w:val="22"/>
          <w:szCs w:val="22"/>
        </w:rPr>
        <w:t xml:space="preserve">W  </w:t>
      </w:r>
      <w:r>
        <w:rPr>
          <w:rFonts w:cs="Arial"/>
          <w:b/>
          <w:sz w:val="22"/>
          <w:szCs w:val="22"/>
        </w:rPr>
        <w:t>DRUGIM</w:t>
      </w:r>
      <w:r>
        <w:rPr>
          <w:rFonts w:cs="Arial"/>
          <w:b/>
          <w:sz w:val="22"/>
          <w:szCs w:val="22"/>
        </w:rPr>
        <w:t xml:space="preserve"> KWARTALE 201</w:t>
      </w:r>
      <w:r>
        <w:rPr>
          <w:rFonts w:cs="Arial"/>
          <w:b/>
          <w:sz w:val="22"/>
          <w:szCs w:val="22"/>
        </w:rPr>
        <w:t>8</w:t>
      </w:r>
      <w:r>
        <w:rPr>
          <w:rFonts w:cs="Arial"/>
          <w:b/>
          <w:sz w:val="22"/>
          <w:szCs w:val="22"/>
        </w:rPr>
        <w:t xml:space="preserve"> R.</w:t>
      </w:r>
    </w:p>
    <w:p>
      <w:pPr>
        <w:pStyle w:val="Normal"/>
        <w:rPr>
          <w:rFonts w:ascii="Calibri" w:hAnsi="Calibri" w:eastAsia="Calibri" w:cs="Arial" w:eastAsiaTheme="minorHAnsi"/>
          <w:color w:val="00000A"/>
          <w:sz w:val="24"/>
          <w:szCs w:val="24"/>
          <w:lang w:val="pl-PL" w:eastAsia="en-US" w:bidi="ar-SA"/>
        </w:rPr>
      </w:pPr>
      <w:r>
        <w:rPr>
          <w:rFonts w:eastAsia="Calibri" w:cs="Arial" w:eastAsiaTheme="minorHAnsi"/>
          <w:color w:val="00000A"/>
          <w:sz w:val="24"/>
          <w:szCs w:val="24"/>
          <w:lang w:val="pl-PL" w:eastAsia="en-US" w:bidi="ar-SA"/>
        </w:rPr>
      </w:r>
    </w:p>
    <w:tbl>
      <w:tblPr>
        <w:tblStyle w:val="Tabela-Siatka"/>
        <w:tblW w:w="9288" w:type="dxa"/>
        <w:jc w:val="left"/>
        <w:tblInd w:w="-15" w:type="dxa"/>
        <w:tblCellMar>
          <w:top w:w="0" w:type="dxa"/>
          <w:left w:w="88" w:type="dxa"/>
          <w:bottom w:w="0" w:type="dxa"/>
          <w:right w:w="108" w:type="dxa"/>
        </w:tblCellMar>
      </w:tblPr>
      <w:tblGrid>
        <w:gridCol w:w="573"/>
        <w:gridCol w:w="4123"/>
        <w:gridCol w:w="2295"/>
        <w:gridCol w:w="2296"/>
      </w:tblGrid>
      <w:tr>
        <w:trPr/>
        <w:tc>
          <w:tcPr>
            <w:tcW w:w="573" w:type="dxa"/>
            <w:tcBorders/>
            <w:shd w:fill="auto" w:val="clear"/>
            <w:tcMar>
              <w:left w:w="88" w:type="dxa"/>
            </w:tcMar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24"/>
                <w:szCs w:val="24"/>
              </w:rPr>
            </w:pPr>
            <w:r>
              <w:rPr>
                <w:rFonts w:cs="Arial" w:ascii="Arial" w:hAnsi="Arial"/>
                <w:b/>
                <w:sz w:val="24"/>
                <w:szCs w:val="24"/>
              </w:rPr>
              <w:t>Lp.</w:t>
            </w:r>
          </w:p>
        </w:tc>
        <w:tc>
          <w:tcPr>
            <w:tcW w:w="4123" w:type="dxa"/>
            <w:tcBorders/>
            <w:shd w:fill="auto" w:val="clear"/>
            <w:tcMar>
              <w:left w:w="8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24"/>
                <w:szCs w:val="24"/>
              </w:rPr>
            </w:pPr>
            <w:r>
              <w:rPr>
                <w:rFonts w:cs="Arial" w:ascii="Arial" w:hAnsi="Arial"/>
                <w:b/>
                <w:sz w:val="24"/>
                <w:szCs w:val="24"/>
              </w:rPr>
              <w:t>Kategoria BIP</w:t>
            </w:r>
          </w:p>
        </w:tc>
        <w:tc>
          <w:tcPr>
            <w:tcW w:w="2295" w:type="dxa"/>
            <w:tcBorders/>
            <w:shd w:fill="auto" w:val="clear"/>
            <w:tcMar>
              <w:left w:w="8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24"/>
                <w:szCs w:val="24"/>
              </w:rPr>
            </w:pPr>
            <w:r>
              <w:rPr>
                <w:rFonts w:cs="Arial" w:ascii="Arial" w:hAnsi="Arial"/>
                <w:b/>
                <w:sz w:val="24"/>
                <w:szCs w:val="24"/>
              </w:rPr>
              <w:t>Sprawy do załatwienia</w:t>
            </w:r>
          </w:p>
        </w:tc>
        <w:tc>
          <w:tcPr>
            <w:tcW w:w="2296" w:type="dxa"/>
            <w:tcBorders/>
            <w:shd w:fill="auto" w:val="clear"/>
            <w:tcMar>
              <w:left w:w="8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24"/>
                <w:szCs w:val="24"/>
              </w:rPr>
            </w:pPr>
            <w:r>
              <w:rPr>
                <w:rFonts w:cs="Arial" w:ascii="Arial" w:hAnsi="Arial"/>
                <w:b/>
                <w:sz w:val="24"/>
                <w:szCs w:val="24"/>
              </w:rPr>
              <w:t>Sprawy załatwione</w:t>
            </w:r>
          </w:p>
        </w:tc>
      </w:tr>
      <w:tr>
        <w:trPr/>
        <w:tc>
          <w:tcPr>
            <w:tcW w:w="573" w:type="dxa"/>
            <w:tcBorders/>
            <w:shd w:fill="auto" w:val="clear"/>
            <w:tcMar>
              <w:left w:w="88" w:type="dxa"/>
            </w:tcMar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  <w:t>1.</w:t>
            </w:r>
          </w:p>
        </w:tc>
        <w:tc>
          <w:tcPr>
            <w:tcW w:w="4123" w:type="dxa"/>
            <w:tcBorders/>
            <w:shd w:fill="auto" w:val="clear"/>
            <w:tcMar>
              <w:left w:w="88" w:type="dxa"/>
            </w:tcMar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eastAsia="Calibri" w:cs="Times New Roman"/>
                <w:b/>
                <w:color w:val="000000"/>
              </w:rPr>
              <w:t>Postępowania w przedmiocie podatku od towarów i usług</w:t>
            </w:r>
          </w:p>
        </w:tc>
        <w:tc>
          <w:tcPr>
            <w:tcW w:w="2295" w:type="dxa"/>
            <w:tcBorders/>
            <w:shd w:fill="auto" w:val="clear"/>
            <w:tcMar>
              <w:left w:w="88" w:type="dxa"/>
            </w:tcMar>
          </w:tcPr>
          <w:p>
            <w:pPr>
              <w:pStyle w:val="Normal"/>
              <w:spacing w:lineRule="auto" w:line="240" w:before="0" w:after="0"/>
              <w:rPr>
                <w:rFonts w:ascii="Arial" w:hAnsi="Arial" w:eastAsia="Calibri" w:cs="Arial" w:eastAsiaTheme="minorHAnsi"/>
                <w:color w:val="00000A"/>
                <w:sz w:val="24"/>
                <w:szCs w:val="24"/>
                <w:lang w:val="pl-PL" w:eastAsia="en-US" w:bidi="ar-SA"/>
              </w:rPr>
            </w:pPr>
            <w:r>
              <w:rPr>
                <w:rFonts w:eastAsia="Calibri" w:cs="Arial" w:eastAsiaTheme="minorHAnsi" w:ascii="Arial" w:hAnsi="Arial"/>
                <w:color w:val="00000A"/>
                <w:sz w:val="24"/>
                <w:szCs w:val="24"/>
                <w:lang w:val="pl-PL" w:eastAsia="en-US" w:bidi="ar-SA"/>
              </w:rPr>
              <w:t>242</w:t>
            </w:r>
          </w:p>
        </w:tc>
        <w:tc>
          <w:tcPr>
            <w:tcW w:w="2296" w:type="dxa"/>
            <w:tcBorders/>
            <w:shd w:fill="auto" w:val="clear"/>
            <w:tcMar>
              <w:left w:w="88" w:type="dxa"/>
            </w:tcMar>
          </w:tcPr>
          <w:p>
            <w:pPr>
              <w:pStyle w:val="Normal"/>
              <w:spacing w:lineRule="auto" w:line="240" w:before="0" w:after="0"/>
              <w:rPr>
                <w:rFonts w:ascii="Arial" w:hAnsi="Arial" w:eastAsia="Calibri" w:cs="Arial" w:eastAsiaTheme="minorHAnsi"/>
                <w:color w:val="00000A"/>
                <w:sz w:val="24"/>
                <w:szCs w:val="24"/>
                <w:lang w:val="pl-PL" w:eastAsia="en-US" w:bidi="ar-SA"/>
              </w:rPr>
            </w:pPr>
            <w:r>
              <w:rPr>
                <w:rFonts w:eastAsia="Calibri" w:cs="Arial" w:eastAsiaTheme="minorHAnsi" w:ascii="Arial" w:hAnsi="Arial"/>
                <w:color w:val="00000A"/>
                <w:sz w:val="24"/>
                <w:szCs w:val="24"/>
                <w:lang w:val="pl-PL" w:eastAsia="en-US" w:bidi="ar-SA"/>
              </w:rPr>
              <w:t>80</w:t>
            </w:r>
          </w:p>
        </w:tc>
      </w:tr>
      <w:tr>
        <w:trPr/>
        <w:tc>
          <w:tcPr>
            <w:tcW w:w="573" w:type="dxa"/>
            <w:tcBorders/>
            <w:shd w:fill="auto" w:val="clear"/>
            <w:tcMar>
              <w:left w:w="88" w:type="dxa"/>
            </w:tcMar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  <w:t>2.</w:t>
            </w:r>
          </w:p>
        </w:tc>
        <w:tc>
          <w:tcPr>
            <w:tcW w:w="4123" w:type="dxa"/>
            <w:tcBorders/>
            <w:shd w:fill="auto" w:val="clear"/>
            <w:tcMar>
              <w:left w:w="88" w:type="dxa"/>
            </w:tcMar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eastAsia="Calibri" w:cs="Times New Roman"/>
                <w:b/>
                <w:color w:val="000000"/>
              </w:rPr>
              <w:t>Postępowania w przedmiocie podatku dochodowego od osób fizycznych</w:t>
            </w:r>
          </w:p>
        </w:tc>
        <w:tc>
          <w:tcPr>
            <w:tcW w:w="2295" w:type="dxa"/>
            <w:tcBorders/>
            <w:shd w:fill="auto" w:val="clear"/>
            <w:tcMar>
              <w:left w:w="88" w:type="dxa"/>
            </w:tcMar>
          </w:tcPr>
          <w:p>
            <w:pPr>
              <w:pStyle w:val="Normal"/>
              <w:spacing w:lineRule="auto" w:line="240" w:before="0" w:after="0"/>
              <w:rPr>
                <w:rFonts w:ascii="Arial" w:hAnsi="Arial" w:eastAsia="Calibri" w:cs="Arial" w:eastAsiaTheme="minorHAnsi"/>
                <w:color w:val="00000A"/>
                <w:sz w:val="24"/>
                <w:szCs w:val="24"/>
                <w:lang w:val="pl-PL" w:eastAsia="en-US" w:bidi="ar-SA"/>
              </w:rPr>
            </w:pPr>
            <w:r>
              <w:rPr>
                <w:rFonts w:eastAsia="Calibri" w:cs="Arial" w:eastAsiaTheme="minorHAnsi" w:ascii="Arial" w:hAnsi="Arial"/>
                <w:color w:val="00000A"/>
                <w:sz w:val="24"/>
                <w:szCs w:val="24"/>
                <w:lang w:val="pl-PL" w:eastAsia="en-US" w:bidi="ar-SA"/>
              </w:rPr>
              <w:t>39</w:t>
            </w:r>
          </w:p>
        </w:tc>
        <w:tc>
          <w:tcPr>
            <w:tcW w:w="2296" w:type="dxa"/>
            <w:tcBorders/>
            <w:shd w:fill="auto" w:val="clear"/>
            <w:tcMar>
              <w:left w:w="88" w:type="dxa"/>
            </w:tcMar>
          </w:tcPr>
          <w:p>
            <w:pPr>
              <w:pStyle w:val="Normal"/>
              <w:spacing w:lineRule="auto" w:line="240" w:before="0" w:after="0"/>
              <w:rPr>
                <w:rFonts w:ascii="Arial" w:hAnsi="Arial" w:eastAsia="Calibri" w:cs="Arial" w:eastAsiaTheme="minorHAnsi"/>
                <w:color w:val="00000A"/>
                <w:sz w:val="24"/>
                <w:szCs w:val="24"/>
                <w:lang w:val="pl-PL" w:eastAsia="en-US" w:bidi="ar-SA"/>
              </w:rPr>
            </w:pPr>
            <w:r>
              <w:rPr>
                <w:rFonts w:eastAsia="Calibri" w:cs="Arial" w:eastAsiaTheme="minorHAnsi" w:ascii="Arial" w:hAnsi="Arial"/>
                <w:color w:val="00000A"/>
                <w:sz w:val="24"/>
                <w:szCs w:val="24"/>
                <w:lang w:val="pl-PL" w:eastAsia="en-US" w:bidi="ar-SA"/>
              </w:rPr>
              <w:t>18</w:t>
            </w:r>
          </w:p>
        </w:tc>
      </w:tr>
      <w:tr>
        <w:trPr/>
        <w:tc>
          <w:tcPr>
            <w:tcW w:w="573" w:type="dxa"/>
            <w:tcBorders/>
            <w:shd w:fill="auto" w:val="clear"/>
            <w:tcMar>
              <w:left w:w="88" w:type="dxa"/>
            </w:tcMar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  <w:t>3.</w:t>
            </w:r>
          </w:p>
        </w:tc>
        <w:tc>
          <w:tcPr>
            <w:tcW w:w="4123" w:type="dxa"/>
            <w:tcBorders/>
            <w:shd w:fill="auto" w:val="clear"/>
            <w:tcMar>
              <w:left w:w="88" w:type="dxa"/>
            </w:tcMar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eastAsia="Calibri" w:cs="Times New Roman"/>
                <w:b/>
              </w:rPr>
              <w:t>Postępowania w przedmiocie podatku dochodowego od osób prawnych</w:t>
            </w:r>
          </w:p>
        </w:tc>
        <w:tc>
          <w:tcPr>
            <w:tcW w:w="2295" w:type="dxa"/>
            <w:tcBorders/>
            <w:shd w:fill="auto" w:val="clear"/>
            <w:tcMar>
              <w:left w:w="88" w:type="dxa"/>
            </w:tcMar>
          </w:tcPr>
          <w:p>
            <w:pPr>
              <w:pStyle w:val="Normal"/>
              <w:spacing w:lineRule="auto" w:line="240" w:before="0" w:after="0"/>
              <w:rPr>
                <w:rFonts w:ascii="Arial" w:hAnsi="Arial" w:eastAsia="Calibri" w:cs="Arial" w:eastAsiaTheme="minorHAnsi"/>
                <w:color w:val="00000A"/>
                <w:sz w:val="24"/>
                <w:szCs w:val="24"/>
                <w:lang w:val="pl-PL" w:eastAsia="en-US" w:bidi="ar-SA"/>
              </w:rPr>
            </w:pPr>
            <w:r>
              <w:rPr>
                <w:rFonts w:eastAsia="Calibri" w:cs="Arial" w:eastAsiaTheme="minorHAnsi" w:ascii="Arial" w:hAnsi="Arial"/>
                <w:color w:val="00000A"/>
                <w:sz w:val="24"/>
                <w:szCs w:val="24"/>
                <w:lang w:val="pl-PL" w:eastAsia="en-US" w:bidi="ar-SA"/>
              </w:rPr>
              <w:t>34</w:t>
            </w:r>
          </w:p>
        </w:tc>
        <w:tc>
          <w:tcPr>
            <w:tcW w:w="2296" w:type="dxa"/>
            <w:tcBorders/>
            <w:shd w:fill="auto" w:val="clear"/>
            <w:tcMar>
              <w:left w:w="88" w:type="dxa"/>
            </w:tcMar>
          </w:tcPr>
          <w:p>
            <w:pPr>
              <w:pStyle w:val="Normal"/>
              <w:spacing w:lineRule="auto" w:line="240" w:before="0" w:after="0"/>
              <w:rPr>
                <w:rFonts w:ascii="Arial" w:hAnsi="Arial" w:eastAsia="Calibri" w:cs="Arial" w:eastAsiaTheme="minorHAnsi"/>
                <w:color w:val="00000A"/>
                <w:sz w:val="24"/>
                <w:szCs w:val="24"/>
                <w:lang w:val="pl-PL" w:eastAsia="en-US" w:bidi="ar-SA"/>
              </w:rPr>
            </w:pPr>
            <w:r>
              <w:rPr>
                <w:rFonts w:eastAsia="Calibri" w:cs="Arial" w:eastAsiaTheme="minorHAnsi" w:ascii="Arial" w:hAnsi="Arial"/>
                <w:color w:val="00000A"/>
                <w:sz w:val="24"/>
                <w:szCs w:val="24"/>
                <w:lang w:val="pl-PL" w:eastAsia="en-US" w:bidi="ar-SA"/>
              </w:rPr>
              <w:t>25</w:t>
            </w:r>
          </w:p>
        </w:tc>
      </w:tr>
      <w:tr>
        <w:trPr/>
        <w:tc>
          <w:tcPr>
            <w:tcW w:w="573" w:type="dxa"/>
            <w:tcBorders/>
            <w:shd w:fill="auto" w:val="clear"/>
            <w:tcMar>
              <w:left w:w="88" w:type="dxa"/>
            </w:tcMar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  <w:t>4.</w:t>
            </w:r>
          </w:p>
        </w:tc>
        <w:tc>
          <w:tcPr>
            <w:tcW w:w="4123" w:type="dxa"/>
            <w:tcBorders/>
            <w:shd w:fill="auto" w:val="clear"/>
            <w:tcMar>
              <w:left w:w="88" w:type="dxa"/>
            </w:tcMar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24"/>
                <w:szCs w:val="24"/>
              </w:rPr>
            </w:pPr>
            <w:r>
              <w:rPr>
                <w:rFonts w:eastAsia="Calibri" w:cs="Times New Roman"/>
                <w:b/>
                <w:color w:val="000000"/>
              </w:rPr>
              <w:t>Sprawy z zakresu egzekucji administracyjnej</w:t>
            </w:r>
          </w:p>
        </w:tc>
        <w:tc>
          <w:tcPr>
            <w:tcW w:w="2295" w:type="dxa"/>
            <w:tcBorders/>
            <w:shd w:fill="auto" w:val="clear"/>
            <w:tcMar>
              <w:left w:w="88" w:type="dxa"/>
            </w:tcMar>
          </w:tcPr>
          <w:p>
            <w:pPr>
              <w:pStyle w:val="Normal"/>
              <w:spacing w:lineRule="auto" w:line="240" w:before="0" w:after="0"/>
              <w:rPr>
                <w:rFonts w:ascii="Arial" w:hAnsi="Arial" w:eastAsia="Calibri" w:cs="Arial" w:eastAsiaTheme="minorHAnsi"/>
                <w:color w:val="00000A"/>
                <w:sz w:val="24"/>
                <w:szCs w:val="24"/>
                <w:lang w:val="pl-PL" w:eastAsia="en-US" w:bidi="ar-SA"/>
              </w:rPr>
            </w:pPr>
            <w:r>
              <w:rPr>
                <w:rFonts w:eastAsia="Calibri" w:cs="Arial" w:eastAsiaTheme="minorHAnsi" w:ascii="Arial" w:hAnsi="Arial"/>
                <w:color w:val="00000A"/>
                <w:sz w:val="24"/>
                <w:szCs w:val="24"/>
                <w:lang w:val="pl-PL" w:eastAsia="en-US" w:bidi="ar-SA"/>
              </w:rPr>
              <w:t>3.228</w:t>
            </w:r>
          </w:p>
        </w:tc>
        <w:tc>
          <w:tcPr>
            <w:tcW w:w="2296" w:type="dxa"/>
            <w:tcBorders/>
            <w:shd w:fill="auto" w:val="clear"/>
            <w:tcMar>
              <w:left w:w="88" w:type="dxa"/>
            </w:tcMar>
          </w:tcPr>
          <w:p>
            <w:pPr>
              <w:pStyle w:val="Normal"/>
              <w:spacing w:lineRule="auto" w:line="240" w:before="0" w:after="0"/>
              <w:rPr>
                <w:rFonts w:ascii="Arial" w:hAnsi="Arial" w:eastAsia="Calibri" w:cs="Arial" w:eastAsiaTheme="minorHAnsi"/>
                <w:color w:val="00000A"/>
                <w:sz w:val="24"/>
                <w:szCs w:val="24"/>
                <w:lang w:val="pl-PL" w:eastAsia="en-US" w:bidi="ar-SA"/>
              </w:rPr>
            </w:pPr>
            <w:r>
              <w:rPr>
                <w:rFonts w:eastAsia="Calibri" w:cs="Arial" w:eastAsiaTheme="minorHAnsi" w:ascii="Arial" w:hAnsi="Arial"/>
                <w:color w:val="00000A"/>
                <w:sz w:val="24"/>
                <w:szCs w:val="24"/>
                <w:lang w:val="pl-PL" w:eastAsia="en-US" w:bidi="ar-SA"/>
              </w:rPr>
              <w:t>695</w:t>
            </w:r>
          </w:p>
        </w:tc>
      </w:tr>
      <w:tr>
        <w:trPr/>
        <w:tc>
          <w:tcPr>
            <w:tcW w:w="573" w:type="dxa"/>
            <w:tcBorders/>
            <w:shd w:fill="auto" w:val="clear"/>
            <w:tcMar>
              <w:left w:w="88" w:type="dxa"/>
            </w:tcMar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  <w:t>5.</w:t>
            </w:r>
          </w:p>
        </w:tc>
        <w:tc>
          <w:tcPr>
            <w:tcW w:w="4123" w:type="dxa"/>
            <w:tcBorders/>
            <w:shd w:fill="auto" w:val="clear"/>
            <w:tcMar>
              <w:left w:w="88" w:type="dxa"/>
            </w:tcMar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eastAsia="Calibri" w:cs="Times New Roman"/>
                <w:b/>
              </w:rPr>
              <w:t>Sprawy z zakresu odpowiedzialności osób trzecich i następców</w:t>
            </w:r>
            <w:r>
              <w:rPr>
                <w:b/>
              </w:rPr>
              <w:t xml:space="preserve"> </w:t>
            </w:r>
            <w:r>
              <w:rPr>
                <w:rFonts w:eastAsia="Calibri" w:cs="Times New Roman"/>
                <w:b/>
              </w:rPr>
              <w:t>prawnych</w:t>
            </w:r>
          </w:p>
        </w:tc>
        <w:tc>
          <w:tcPr>
            <w:tcW w:w="2295" w:type="dxa"/>
            <w:tcBorders/>
            <w:shd w:fill="auto" w:val="clear"/>
            <w:tcMar>
              <w:left w:w="88" w:type="dxa"/>
            </w:tcMar>
          </w:tcPr>
          <w:p>
            <w:pPr>
              <w:pStyle w:val="Normal"/>
              <w:spacing w:lineRule="auto" w:line="240" w:before="0" w:after="0"/>
              <w:rPr>
                <w:rFonts w:ascii="Arial" w:hAnsi="Arial" w:eastAsia="Calibri" w:cs="Arial" w:eastAsiaTheme="minorHAnsi"/>
                <w:color w:val="00000A"/>
                <w:sz w:val="24"/>
                <w:szCs w:val="24"/>
                <w:lang w:val="pl-PL" w:eastAsia="en-US" w:bidi="ar-SA"/>
              </w:rPr>
            </w:pPr>
            <w:r>
              <w:rPr>
                <w:rFonts w:eastAsia="Calibri" w:cs="Arial" w:eastAsiaTheme="minorHAnsi" w:ascii="Arial" w:hAnsi="Arial"/>
                <w:color w:val="00000A"/>
                <w:sz w:val="24"/>
                <w:szCs w:val="24"/>
                <w:lang w:val="pl-PL" w:eastAsia="en-US" w:bidi="ar-SA"/>
              </w:rPr>
              <w:t>84</w:t>
            </w:r>
          </w:p>
        </w:tc>
        <w:tc>
          <w:tcPr>
            <w:tcW w:w="2296" w:type="dxa"/>
            <w:tcBorders/>
            <w:shd w:fill="auto" w:val="clear"/>
            <w:tcMar>
              <w:left w:w="88" w:type="dxa"/>
            </w:tcMar>
          </w:tcPr>
          <w:p>
            <w:pPr>
              <w:pStyle w:val="Normal"/>
              <w:spacing w:lineRule="auto" w:line="240" w:before="0" w:after="0"/>
              <w:rPr>
                <w:rFonts w:ascii="Arial" w:hAnsi="Arial" w:eastAsia="Calibri" w:cs="Arial" w:eastAsiaTheme="minorHAnsi"/>
                <w:color w:val="00000A"/>
                <w:sz w:val="24"/>
                <w:szCs w:val="24"/>
                <w:lang w:val="pl-PL" w:eastAsia="en-US" w:bidi="ar-SA"/>
              </w:rPr>
            </w:pPr>
            <w:r>
              <w:rPr>
                <w:rFonts w:eastAsia="Calibri" w:cs="Arial" w:eastAsiaTheme="minorHAnsi" w:ascii="Arial" w:hAnsi="Arial"/>
                <w:color w:val="00000A"/>
                <w:sz w:val="24"/>
                <w:szCs w:val="24"/>
                <w:lang w:val="pl-PL" w:eastAsia="en-US" w:bidi="ar-SA"/>
              </w:rPr>
              <w:t>45</w:t>
            </w:r>
          </w:p>
        </w:tc>
      </w:tr>
      <w:tr>
        <w:trPr/>
        <w:tc>
          <w:tcPr>
            <w:tcW w:w="573" w:type="dxa"/>
            <w:tcBorders/>
            <w:shd w:fill="auto" w:val="clear"/>
            <w:tcMar>
              <w:left w:w="88" w:type="dxa"/>
            </w:tcMar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  <w:t>6.</w:t>
            </w:r>
          </w:p>
        </w:tc>
        <w:tc>
          <w:tcPr>
            <w:tcW w:w="4123" w:type="dxa"/>
            <w:tcBorders/>
            <w:shd w:fill="auto" w:val="clear"/>
            <w:tcMar>
              <w:left w:w="88" w:type="dxa"/>
            </w:tcMar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24"/>
                <w:szCs w:val="24"/>
              </w:rPr>
            </w:pPr>
            <w:r>
              <w:rPr>
                <w:rFonts w:eastAsia="Calibri" w:cs="Times New Roman"/>
                <w:b/>
                <w:color w:val="000000"/>
              </w:rPr>
              <w:t>Sprawy z zakresu rachunkowości podatkowej</w:t>
            </w:r>
          </w:p>
        </w:tc>
        <w:tc>
          <w:tcPr>
            <w:tcW w:w="2295" w:type="dxa"/>
            <w:tcBorders/>
            <w:shd w:fill="auto" w:val="clear"/>
            <w:tcMar>
              <w:left w:w="88" w:type="dxa"/>
            </w:tcMar>
          </w:tcPr>
          <w:p>
            <w:pPr>
              <w:pStyle w:val="Normal"/>
              <w:spacing w:lineRule="auto" w:line="240" w:before="0" w:after="0"/>
              <w:rPr>
                <w:rFonts w:ascii="Arial" w:hAnsi="Arial" w:eastAsia="Calibri" w:cs="Arial" w:eastAsiaTheme="minorHAnsi"/>
                <w:color w:val="00000A"/>
                <w:sz w:val="24"/>
                <w:szCs w:val="24"/>
                <w:lang w:val="pl-PL" w:eastAsia="en-US" w:bidi="ar-SA"/>
              </w:rPr>
            </w:pPr>
            <w:r>
              <w:rPr>
                <w:rFonts w:eastAsia="Calibri" w:cs="Arial" w:eastAsiaTheme="minorHAnsi" w:ascii="Arial" w:hAnsi="Arial"/>
                <w:color w:val="00000A"/>
                <w:sz w:val="24"/>
                <w:szCs w:val="24"/>
                <w:lang w:val="pl-PL" w:eastAsia="en-US" w:bidi="ar-SA"/>
              </w:rPr>
              <w:t>0</w:t>
            </w:r>
          </w:p>
        </w:tc>
        <w:tc>
          <w:tcPr>
            <w:tcW w:w="2296" w:type="dxa"/>
            <w:tcBorders/>
            <w:shd w:fill="auto" w:val="clear"/>
            <w:tcMar>
              <w:left w:w="88" w:type="dxa"/>
            </w:tcMar>
          </w:tcPr>
          <w:p>
            <w:pPr>
              <w:pStyle w:val="Normal"/>
              <w:spacing w:lineRule="auto" w:line="240" w:before="0" w:after="0"/>
              <w:rPr>
                <w:rFonts w:ascii="Arial" w:hAnsi="Arial" w:eastAsia="Calibri" w:cs="Arial" w:eastAsiaTheme="minorHAnsi"/>
                <w:color w:val="00000A"/>
                <w:sz w:val="24"/>
                <w:szCs w:val="24"/>
                <w:lang w:val="pl-PL" w:eastAsia="en-US" w:bidi="ar-SA"/>
              </w:rPr>
            </w:pPr>
            <w:r>
              <w:rPr>
                <w:rFonts w:eastAsia="Calibri" w:cs="Arial" w:eastAsiaTheme="minorHAnsi" w:ascii="Arial" w:hAnsi="Arial"/>
                <w:color w:val="00000A"/>
                <w:sz w:val="24"/>
                <w:szCs w:val="24"/>
                <w:lang w:val="pl-PL" w:eastAsia="en-US" w:bidi="ar-SA"/>
              </w:rPr>
              <w:t>65.197</w:t>
            </w:r>
          </w:p>
        </w:tc>
      </w:tr>
      <w:tr>
        <w:trPr/>
        <w:tc>
          <w:tcPr>
            <w:tcW w:w="573" w:type="dxa"/>
            <w:tcBorders/>
            <w:shd w:fill="auto" w:val="clear"/>
            <w:tcMar>
              <w:left w:w="88" w:type="dxa"/>
            </w:tcMar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  <w:t>7.</w:t>
            </w:r>
          </w:p>
        </w:tc>
        <w:tc>
          <w:tcPr>
            <w:tcW w:w="4123" w:type="dxa"/>
            <w:tcBorders/>
            <w:shd w:fill="auto" w:val="clear"/>
            <w:tcMar>
              <w:left w:w="88" w:type="dxa"/>
            </w:tcMar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24"/>
                <w:szCs w:val="24"/>
              </w:rPr>
            </w:pPr>
            <w:r>
              <w:rPr>
                <w:rFonts w:eastAsia="Calibri" w:cs="Times New Roman"/>
                <w:b/>
                <w:color w:val="000000"/>
              </w:rPr>
              <w:t>Sprawy z zakresu kontroli podatkowej</w:t>
            </w:r>
          </w:p>
        </w:tc>
        <w:tc>
          <w:tcPr>
            <w:tcW w:w="2295" w:type="dxa"/>
            <w:tcBorders/>
            <w:shd w:fill="auto" w:val="clear"/>
            <w:tcMar>
              <w:left w:w="88" w:type="dxa"/>
            </w:tcMar>
          </w:tcPr>
          <w:p>
            <w:pPr>
              <w:pStyle w:val="Normal"/>
              <w:spacing w:lineRule="auto" w:line="240" w:before="0" w:after="0"/>
              <w:rPr>
                <w:rFonts w:ascii="Arial" w:hAnsi="Arial" w:eastAsia="Calibri" w:cs="Arial" w:eastAsiaTheme="minorHAnsi"/>
                <w:color w:val="00000A"/>
                <w:sz w:val="24"/>
                <w:szCs w:val="24"/>
                <w:lang w:val="pl-PL" w:eastAsia="en-US" w:bidi="ar-SA"/>
              </w:rPr>
            </w:pPr>
            <w:r>
              <w:rPr>
                <w:rFonts w:eastAsia="Calibri" w:cs="Arial" w:eastAsiaTheme="minorHAnsi" w:ascii="Arial" w:hAnsi="Arial"/>
                <w:color w:val="00000A"/>
                <w:sz w:val="24"/>
                <w:szCs w:val="24"/>
                <w:lang w:val="pl-PL" w:eastAsia="en-US" w:bidi="ar-SA"/>
              </w:rPr>
              <w:t>73</w:t>
            </w:r>
          </w:p>
        </w:tc>
        <w:tc>
          <w:tcPr>
            <w:tcW w:w="2296" w:type="dxa"/>
            <w:tcBorders/>
            <w:shd w:fill="auto" w:val="clear"/>
            <w:tcMar>
              <w:left w:w="88" w:type="dxa"/>
            </w:tcMar>
          </w:tcPr>
          <w:p>
            <w:pPr>
              <w:pStyle w:val="Normal"/>
              <w:spacing w:lineRule="auto" w:line="240" w:before="0" w:after="0"/>
              <w:rPr>
                <w:rFonts w:ascii="Arial" w:hAnsi="Arial" w:eastAsia="Calibri" w:cs="Arial" w:eastAsiaTheme="minorHAnsi"/>
                <w:color w:val="00000A"/>
                <w:sz w:val="24"/>
                <w:szCs w:val="24"/>
                <w:lang w:val="pl-PL" w:eastAsia="en-US" w:bidi="ar-SA"/>
              </w:rPr>
            </w:pPr>
            <w:r>
              <w:rPr>
                <w:rFonts w:eastAsia="Calibri" w:cs="Arial" w:eastAsiaTheme="minorHAnsi" w:ascii="Arial" w:hAnsi="Arial"/>
                <w:color w:val="00000A"/>
                <w:sz w:val="24"/>
                <w:szCs w:val="24"/>
                <w:lang w:val="pl-PL" w:eastAsia="en-US" w:bidi="ar-SA"/>
              </w:rPr>
              <w:t>19</w:t>
            </w:r>
          </w:p>
        </w:tc>
      </w:tr>
      <w:tr>
        <w:trPr/>
        <w:tc>
          <w:tcPr>
            <w:tcW w:w="573" w:type="dxa"/>
            <w:tcBorders/>
            <w:shd w:fill="auto" w:val="clear"/>
            <w:tcMar>
              <w:left w:w="88" w:type="dxa"/>
            </w:tcMar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  <w:t>8.</w:t>
            </w:r>
          </w:p>
        </w:tc>
        <w:tc>
          <w:tcPr>
            <w:tcW w:w="4123" w:type="dxa"/>
            <w:tcBorders/>
            <w:shd w:fill="auto" w:val="clear"/>
            <w:tcMar>
              <w:left w:w="88" w:type="dxa"/>
            </w:tcMar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24"/>
                <w:szCs w:val="24"/>
              </w:rPr>
            </w:pPr>
            <w:r>
              <w:rPr>
                <w:rFonts w:eastAsia="Calibri" w:cs="Times New Roman"/>
                <w:b/>
              </w:rPr>
              <w:t>Sprawy dotyczące Ulg w spłacie zobowiązań podatkowych</w:t>
            </w:r>
          </w:p>
        </w:tc>
        <w:tc>
          <w:tcPr>
            <w:tcW w:w="2295" w:type="dxa"/>
            <w:tcBorders/>
            <w:shd w:fill="auto" w:val="clear"/>
            <w:tcMar>
              <w:left w:w="88" w:type="dxa"/>
            </w:tcMar>
          </w:tcPr>
          <w:p>
            <w:pPr>
              <w:pStyle w:val="Normal"/>
              <w:spacing w:lineRule="auto" w:line="240" w:before="0" w:after="0"/>
              <w:rPr>
                <w:rFonts w:ascii="Arial" w:hAnsi="Arial" w:eastAsia="Calibri" w:cs="Arial" w:eastAsiaTheme="minorHAnsi"/>
                <w:color w:val="00000A"/>
                <w:sz w:val="24"/>
                <w:szCs w:val="24"/>
                <w:lang w:val="pl-PL" w:eastAsia="en-US" w:bidi="ar-SA"/>
              </w:rPr>
            </w:pPr>
            <w:r>
              <w:rPr>
                <w:rFonts w:eastAsia="Calibri" w:cs="Arial" w:eastAsiaTheme="minorHAnsi" w:ascii="Arial" w:hAnsi="Arial"/>
                <w:color w:val="00000A"/>
                <w:sz w:val="24"/>
                <w:szCs w:val="24"/>
                <w:lang w:val="pl-PL" w:eastAsia="en-US" w:bidi="ar-SA"/>
              </w:rPr>
              <w:t>9</w:t>
            </w:r>
          </w:p>
        </w:tc>
        <w:tc>
          <w:tcPr>
            <w:tcW w:w="2296" w:type="dxa"/>
            <w:tcBorders/>
            <w:shd w:fill="auto" w:val="clear"/>
            <w:tcMar>
              <w:left w:w="88" w:type="dxa"/>
            </w:tcMar>
          </w:tcPr>
          <w:p>
            <w:pPr>
              <w:pStyle w:val="Normal"/>
              <w:spacing w:lineRule="auto" w:line="240" w:before="0" w:after="0"/>
              <w:rPr>
                <w:rFonts w:ascii="Arial" w:hAnsi="Arial" w:eastAsia="Calibri" w:cs="Arial" w:eastAsiaTheme="minorHAnsi"/>
                <w:color w:val="00000A"/>
                <w:sz w:val="24"/>
                <w:szCs w:val="24"/>
                <w:lang w:val="pl-PL" w:eastAsia="en-US" w:bidi="ar-SA"/>
              </w:rPr>
            </w:pPr>
            <w:r>
              <w:rPr>
                <w:rFonts w:eastAsia="Calibri" w:cs="Arial" w:eastAsiaTheme="minorHAnsi" w:ascii="Arial" w:hAnsi="Arial"/>
                <w:color w:val="00000A"/>
                <w:sz w:val="24"/>
                <w:szCs w:val="24"/>
                <w:lang w:val="pl-PL" w:eastAsia="en-US" w:bidi="ar-SA"/>
              </w:rPr>
              <w:t>151</w:t>
            </w:r>
          </w:p>
        </w:tc>
      </w:tr>
      <w:tr>
        <w:trPr/>
        <w:tc>
          <w:tcPr>
            <w:tcW w:w="573" w:type="dxa"/>
            <w:tcBorders/>
            <w:shd w:fill="auto" w:val="clear"/>
            <w:tcMar>
              <w:left w:w="88" w:type="dxa"/>
            </w:tcMar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  <w:t>9.</w:t>
            </w:r>
          </w:p>
        </w:tc>
        <w:tc>
          <w:tcPr>
            <w:tcW w:w="4123" w:type="dxa"/>
            <w:tcBorders/>
            <w:shd w:fill="auto" w:val="clear"/>
            <w:tcMar>
              <w:left w:w="88" w:type="dxa"/>
            </w:tcMar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24"/>
                <w:szCs w:val="24"/>
              </w:rPr>
            </w:pPr>
            <w:r>
              <w:rPr>
                <w:rFonts w:eastAsia="Calibri" w:cs="Times New Roman"/>
                <w:b/>
              </w:rPr>
              <w:t>Sprawy z zakresu wstrzymania wykonania decyzji</w:t>
            </w:r>
          </w:p>
        </w:tc>
        <w:tc>
          <w:tcPr>
            <w:tcW w:w="2295" w:type="dxa"/>
            <w:tcBorders/>
            <w:shd w:fill="auto" w:val="clear"/>
            <w:tcMar>
              <w:left w:w="88" w:type="dxa"/>
            </w:tcMar>
          </w:tcPr>
          <w:p>
            <w:pPr>
              <w:pStyle w:val="Normal"/>
              <w:spacing w:lineRule="auto" w:line="240" w:before="0" w:after="0"/>
              <w:rPr>
                <w:rFonts w:ascii="Arial" w:hAnsi="Arial" w:eastAsia="Calibri" w:cs="Arial" w:eastAsiaTheme="minorHAnsi"/>
                <w:color w:val="00000A"/>
                <w:sz w:val="24"/>
                <w:szCs w:val="24"/>
                <w:lang w:val="pl-PL" w:eastAsia="en-US" w:bidi="ar-SA"/>
              </w:rPr>
            </w:pPr>
            <w:r>
              <w:rPr>
                <w:rFonts w:eastAsia="Calibri" w:cs="Arial" w:eastAsiaTheme="minorHAnsi" w:ascii="Arial" w:hAnsi="Arial"/>
                <w:color w:val="00000A"/>
                <w:sz w:val="24"/>
                <w:szCs w:val="24"/>
                <w:lang w:val="pl-PL" w:eastAsia="en-US" w:bidi="ar-SA"/>
              </w:rPr>
              <w:t>0</w:t>
            </w:r>
          </w:p>
        </w:tc>
        <w:tc>
          <w:tcPr>
            <w:tcW w:w="2296" w:type="dxa"/>
            <w:tcBorders/>
            <w:shd w:fill="auto" w:val="clear"/>
            <w:tcMar>
              <w:left w:w="88" w:type="dxa"/>
            </w:tcMar>
          </w:tcPr>
          <w:p>
            <w:pPr>
              <w:pStyle w:val="Normal"/>
              <w:spacing w:lineRule="auto" w:line="240" w:before="0" w:after="0"/>
              <w:rPr>
                <w:rFonts w:ascii="Arial" w:hAnsi="Arial" w:eastAsia="Calibri" w:cs="Arial" w:eastAsiaTheme="minorHAnsi"/>
                <w:color w:val="00000A"/>
                <w:sz w:val="24"/>
                <w:szCs w:val="24"/>
                <w:lang w:val="pl-PL" w:eastAsia="en-US" w:bidi="ar-SA"/>
              </w:rPr>
            </w:pPr>
            <w:r>
              <w:rPr>
                <w:rFonts w:eastAsia="Calibri" w:cs="Arial" w:eastAsiaTheme="minorHAnsi" w:ascii="Arial" w:hAnsi="Arial"/>
                <w:color w:val="00000A"/>
                <w:sz w:val="24"/>
                <w:szCs w:val="24"/>
                <w:lang w:val="pl-PL" w:eastAsia="en-US" w:bidi="ar-SA"/>
              </w:rPr>
              <w:t>0</w:t>
            </w:r>
          </w:p>
        </w:tc>
      </w:tr>
      <w:tr>
        <w:trPr/>
        <w:tc>
          <w:tcPr>
            <w:tcW w:w="573" w:type="dxa"/>
            <w:tcBorders/>
            <w:shd w:fill="auto" w:val="clear"/>
            <w:tcMar>
              <w:left w:w="88" w:type="dxa"/>
            </w:tcMar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  <w:t>10.</w:t>
            </w:r>
          </w:p>
        </w:tc>
        <w:tc>
          <w:tcPr>
            <w:tcW w:w="4123" w:type="dxa"/>
            <w:tcBorders/>
            <w:shd w:fill="auto" w:val="clear"/>
            <w:tcMar>
              <w:left w:w="88" w:type="dxa"/>
            </w:tcMar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24"/>
                <w:szCs w:val="24"/>
              </w:rPr>
            </w:pPr>
            <w:r>
              <w:rPr>
                <w:rFonts w:eastAsia="Calibri" w:cs="Times New Roman"/>
                <w:b/>
              </w:rPr>
              <w:t>Sprawy karne - skarbowe</w:t>
            </w:r>
          </w:p>
        </w:tc>
        <w:tc>
          <w:tcPr>
            <w:tcW w:w="2295" w:type="dxa"/>
            <w:tcBorders/>
            <w:shd w:fill="auto" w:val="clear"/>
            <w:tcMar>
              <w:left w:w="88" w:type="dxa"/>
            </w:tcMar>
          </w:tcPr>
          <w:p>
            <w:pPr>
              <w:pStyle w:val="Normal"/>
              <w:spacing w:lineRule="auto" w:line="240" w:before="0" w:after="0"/>
              <w:rPr>
                <w:rFonts w:ascii="Arial" w:hAnsi="Arial" w:eastAsia="Calibri" w:cs="Arial" w:eastAsiaTheme="minorHAnsi"/>
                <w:color w:val="00000A"/>
                <w:sz w:val="24"/>
                <w:szCs w:val="24"/>
                <w:lang w:val="pl-PL" w:eastAsia="en-US" w:bidi="ar-SA"/>
              </w:rPr>
            </w:pPr>
            <w:r>
              <w:rPr>
                <w:rFonts w:eastAsia="Calibri" w:cs="Arial" w:eastAsiaTheme="minorHAnsi" w:ascii="Arial" w:hAnsi="Arial"/>
                <w:color w:val="00000A"/>
                <w:sz w:val="24"/>
                <w:szCs w:val="24"/>
                <w:lang w:val="pl-PL" w:eastAsia="en-US" w:bidi="ar-SA"/>
              </w:rPr>
              <w:t>967</w:t>
            </w:r>
          </w:p>
        </w:tc>
        <w:tc>
          <w:tcPr>
            <w:tcW w:w="2296" w:type="dxa"/>
            <w:tcBorders/>
            <w:shd w:fill="auto" w:val="clear"/>
            <w:tcMar>
              <w:left w:w="88" w:type="dxa"/>
            </w:tcMar>
          </w:tcPr>
          <w:p>
            <w:pPr>
              <w:pStyle w:val="Normal"/>
              <w:spacing w:lineRule="auto" w:line="240" w:before="0" w:after="0"/>
              <w:rPr>
                <w:rFonts w:ascii="Arial" w:hAnsi="Arial" w:eastAsia="Calibri" w:cs="Arial" w:eastAsiaTheme="minorHAnsi"/>
                <w:color w:val="00000A"/>
                <w:sz w:val="24"/>
                <w:szCs w:val="24"/>
                <w:lang w:val="pl-PL" w:eastAsia="en-US" w:bidi="ar-SA"/>
              </w:rPr>
            </w:pPr>
            <w:r>
              <w:rPr>
                <w:rFonts w:eastAsia="Calibri" w:cs="Arial" w:eastAsiaTheme="minorHAnsi" w:ascii="Arial" w:hAnsi="Arial"/>
                <w:color w:val="00000A"/>
                <w:sz w:val="24"/>
                <w:szCs w:val="24"/>
                <w:lang w:val="pl-PL" w:eastAsia="en-US" w:bidi="ar-SA"/>
              </w:rPr>
              <w:t>492</w:t>
            </w:r>
          </w:p>
        </w:tc>
      </w:tr>
    </w:tbl>
    <w:p>
      <w:pPr>
        <w:pStyle w:val="Normal"/>
        <w:widowControl/>
        <w:suppressAutoHyphens w:val="true"/>
        <w:bidi w:val="0"/>
        <w:spacing w:lineRule="auto" w:line="276" w:before="0" w:after="200"/>
        <w:jc w:val="left"/>
        <w:rPr/>
      </w:pPr>
      <w:r>
        <w:rPr/>
      </w:r>
    </w:p>
    <w:sectPr>
      <w:type w:val="nextPage"/>
      <w:pgSz w:w="11906" w:h="16838"/>
      <w:pgMar w:left="1417" w:right="1417" w:header="0" w:top="851" w:footer="0" w:bottom="1417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Tahoma">
    <w:charset w:val="ee"/>
    <w:family w:val="roman"/>
    <w:pitch w:val="variable"/>
  </w:font>
  <w:font w:name="Times New Roman">
    <w:charset w:val="ee"/>
    <w:family w:val="roman"/>
    <w:pitch w:val="variable"/>
  </w:font>
  <w:font w:name="Arial">
    <w:charset w:val="ee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autoHyphenation w:val="false"/>
  <w:compat/>
  <w:themeFontLang w:val="pl-PL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pl-PL" w:eastAsia="en-US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4d73e8"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00000A"/>
      <w:kern w:val="0"/>
      <w:sz w:val="22"/>
      <w:szCs w:val="22"/>
      <w:lang w:val="pl-PL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624c69"/>
    <w:rPr>
      <w:sz w:val="16"/>
      <w:szCs w:val="16"/>
    </w:rPr>
  </w:style>
  <w:style w:type="character" w:styleId="TekstkomentarzaZnak" w:customStyle="1">
    <w:name w:val="Tekst komentarza Znak"/>
    <w:basedOn w:val="DefaultParagraphFont"/>
    <w:link w:val="Tekstkomentarza"/>
    <w:uiPriority w:val="99"/>
    <w:semiHidden/>
    <w:qFormat/>
    <w:rsid w:val="00624c69"/>
    <w:rPr>
      <w:sz w:val="20"/>
      <w:szCs w:val="20"/>
    </w:rPr>
  </w:style>
  <w:style w:type="character" w:styleId="TematkomentarzaZnak" w:customStyle="1">
    <w:name w:val="Temat komentarza Znak"/>
    <w:basedOn w:val="TekstkomentarzaZnak"/>
    <w:link w:val="Tematkomentarza"/>
    <w:uiPriority w:val="99"/>
    <w:semiHidden/>
    <w:qFormat/>
    <w:rsid w:val="00624c69"/>
    <w:rPr>
      <w:b/>
      <w:bCs/>
    </w:rPr>
  </w:style>
  <w:style w:type="character" w:styleId="TekstdymkaZnak" w:customStyle="1">
    <w:name w:val="Tekst dymka Znak"/>
    <w:basedOn w:val="DefaultParagraphFont"/>
    <w:link w:val="Tekstdymka"/>
    <w:uiPriority w:val="99"/>
    <w:semiHidden/>
    <w:qFormat/>
    <w:rsid w:val="00624c69"/>
    <w:rPr>
      <w:rFonts w:ascii="Tahoma" w:hAnsi="Tahoma" w:cs="Tahoma"/>
      <w:sz w:val="16"/>
      <w:szCs w:val="16"/>
    </w:rPr>
  </w:style>
  <w:style w:type="paragraph" w:styleId="Nagwek">
    <w:name w:val="Nagłówek"/>
    <w:basedOn w:val="Normal"/>
    <w:next w:val="Tretekstu"/>
    <w:qFormat/>
    <w:pPr>
      <w:keepNext w:val="true"/>
      <w:spacing w:before="240" w:after="120"/>
    </w:pPr>
    <w:rPr>
      <w:rFonts w:ascii="Times New Roman" w:hAnsi="Times New Roman" w:eastAsia="Microsoft YaHei" w:cs="Mangal"/>
      <w:sz w:val="28"/>
      <w:szCs w:val="28"/>
    </w:rPr>
  </w:style>
  <w:style w:type="paragraph" w:styleId="Tretekstu">
    <w:name w:val="Body Text"/>
    <w:basedOn w:val="Normal"/>
    <w:pPr>
      <w:spacing w:lineRule="auto" w:line="288" w:before="0" w:after="140"/>
    </w:pPr>
    <w:rPr/>
  </w:style>
  <w:style w:type="paragraph" w:styleId="Lista">
    <w:name w:val="List"/>
    <w:basedOn w:val="Tretekstu"/>
    <w:pPr/>
    <w:rPr>
      <w:rFonts w:ascii="Times New Roman" w:hAnsi="Times New Roman" w:cs="Mangal"/>
    </w:rPr>
  </w:style>
  <w:style w:type="paragraph" w:styleId="Podpis">
    <w:name w:val="Caption"/>
    <w:basedOn w:val="Normal"/>
    <w:qFormat/>
    <w:pPr>
      <w:suppressLineNumbers/>
      <w:spacing w:before="120" w:after="120"/>
    </w:pPr>
    <w:rPr>
      <w:rFonts w:ascii="Times New Roman" w:hAnsi="Times New Roman" w:cs="Mangal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ascii="Times New Roman" w:hAnsi="Times New Roman" w:cs="Mangal"/>
    </w:rPr>
  </w:style>
  <w:style w:type="paragraph" w:styleId="Annotationtext">
    <w:name w:val="annotation text"/>
    <w:basedOn w:val="Normal"/>
    <w:link w:val="TekstkomentarzaZnak"/>
    <w:uiPriority w:val="99"/>
    <w:semiHidden/>
    <w:unhideWhenUsed/>
    <w:qFormat/>
    <w:rsid w:val="00624c69"/>
    <w:pPr>
      <w:spacing w:lineRule="auto" w:line="240"/>
    </w:pPr>
    <w:rPr>
      <w:sz w:val="20"/>
      <w:szCs w:val="20"/>
    </w:rPr>
  </w:style>
  <w:style w:type="paragraph" w:styleId="Annotationsubject">
    <w:name w:val="annotation subject"/>
    <w:basedOn w:val="Annotationtext"/>
    <w:link w:val="TematkomentarzaZnak"/>
    <w:uiPriority w:val="99"/>
    <w:semiHidden/>
    <w:unhideWhenUsed/>
    <w:qFormat/>
    <w:rsid w:val="00624c69"/>
    <w:pPr/>
    <w:rPr>
      <w:b/>
      <w:bCs/>
    </w:rPr>
  </w:style>
  <w:style w:type="paragraph" w:styleId="BalloonText">
    <w:name w:val="Balloon Text"/>
    <w:basedOn w:val="Normal"/>
    <w:link w:val="TekstdymkaZnak"/>
    <w:uiPriority w:val="99"/>
    <w:semiHidden/>
    <w:unhideWhenUsed/>
    <w:qFormat/>
    <w:rsid w:val="00624c69"/>
    <w:pPr>
      <w:spacing w:lineRule="auto" w:line="240" w:before="0" w:after="0"/>
    </w:pPr>
    <w:rPr>
      <w:rFonts w:ascii="Tahoma" w:hAnsi="Tahoma" w:cs="Tahoma"/>
      <w:sz w:val="16"/>
      <w:szCs w:val="16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ela-Siatka">
    <w:name w:val="Table Grid"/>
    <w:basedOn w:val="Standardowy"/>
    <w:uiPriority w:val="59"/>
    <w:rsid w:val="002e1e0a"/>
    <w:pPr>
      <w:spacing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207</TotalTime>
  <Application>LibreOffice/5.4.5.1$Windows_X86_64 LibreOffice_project/79c9829dd5d8054ec39a82dc51cd9eff340dbee8</Application>
  <Pages>1</Pages>
  <Words>116</Words>
  <Characters>621</Characters>
  <CharactersWithSpaces>692</CharactersWithSpaces>
  <Paragraphs>47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2015-11-17T10:05:00Z</dcterms:created>
  <dc:creator>DZIWIO</dc:creator>
  <dc:description/>
  <dc:language>pl-PL</dc:language>
  <cp:lastModifiedBy/>
  <cp:lastPrinted>2016-03-15T07:43:00Z</cp:lastPrinted>
  <dcterms:modified xsi:type="dcterms:W3CDTF">2018-07-11T15:22:44Z</dcterms:modified>
  <cp:revision>14</cp:revision>
  <dc:subject/>
  <dc:title/>
</cp:coreProperties>
</file>