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>Stan Spraw  I kwartał  201</w:t>
      </w:r>
      <w:r>
        <w:rPr>
          <w:rFonts w:cs="Arial" w:ascii="Arial" w:hAnsi="Arial"/>
          <w:sz w:val="24"/>
          <w:szCs w:val="24"/>
        </w:rPr>
        <w:t>8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Urząd Skarbowy w Kwidzynie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288" w:type="dxa"/>
        <w:jc w:val="left"/>
        <w:tblInd w:w="-40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573"/>
        <w:gridCol w:w="4125"/>
        <w:gridCol w:w="2295"/>
        <w:gridCol w:w="2294"/>
      </w:tblGrid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57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72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2 623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1 745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81 178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57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94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65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Application>LibreOffice/5.2.3.3$Windows_x86 LibreOffice_project/d54a8868f08a7b39642414cf2c8ef2f228f780cf</Application>
  <Pages>1</Pages>
  <Words>115</Words>
  <Characters>590</Characters>
  <CharactersWithSpaces>661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cp:lastPrinted>2017-04-11T10:27:53Z</cp:lastPrinted>
  <dcterms:modified xsi:type="dcterms:W3CDTF">2018-04-11T07:42:04Z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