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D3" w:rsidRDefault="00C52C77">
      <w:r>
        <w:rPr>
          <w:rFonts w:ascii="Arial" w:hAnsi="Arial" w:cs="Arial"/>
          <w:sz w:val="24"/>
          <w:szCs w:val="24"/>
        </w:rPr>
        <w:t xml:space="preserve">Stan Spraw   II kwartał  2018 </w:t>
      </w:r>
    </w:p>
    <w:p w:rsidR="006834D3" w:rsidRDefault="00C52C77">
      <w:r>
        <w:rPr>
          <w:rFonts w:ascii="Arial" w:hAnsi="Arial" w:cs="Arial"/>
          <w:sz w:val="24"/>
          <w:szCs w:val="24"/>
        </w:rPr>
        <w:t>Urząd Skarbowy w Kwidzynie</w:t>
      </w:r>
    </w:p>
    <w:p w:rsidR="006834D3" w:rsidRDefault="006834D3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88" w:type="dxa"/>
        <w:tblInd w:w="-4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84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827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1945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101 571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 w:rsidR="006834D3" w:rsidRDefault="006834D3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834D3"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834D3">
        <w:trPr>
          <w:trHeight w:val="318"/>
        </w:trPr>
        <w:tc>
          <w:tcPr>
            <w:tcW w:w="573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68" w:type="dxa"/>
            </w:tcMar>
          </w:tcPr>
          <w:p w:rsidR="006834D3" w:rsidRDefault="00C52C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294" w:type="dxa"/>
            <w:shd w:val="clear" w:color="auto" w:fill="auto"/>
            <w:tcMar>
              <w:left w:w="68" w:type="dxa"/>
            </w:tcMar>
          </w:tcPr>
          <w:p w:rsidR="006834D3" w:rsidRDefault="00171B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83</w:t>
            </w:r>
          </w:p>
        </w:tc>
      </w:tr>
    </w:tbl>
    <w:p w:rsidR="006834D3" w:rsidRDefault="006834D3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p w:rsidR="00A74745" w:rsidRDefault="00A74745"/>
    <w:sectPr w:rsidR="00A74745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34D3"/>
    <w:rsid w:val="00171BE3"/>
    <w:rsid w:val="006834D3"/>
    <w:rsid w:val="00A74745"/>
    <w:rsid w:val="00C46839"/>
    <w:rsid w:val="00C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E0E6"/>
  <w15:docId w15:val="{E8EDA83F-FD05-48E3-9299-D66E0830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0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5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6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10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46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12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764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6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238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79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2687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9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316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096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2115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66641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605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46861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656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2678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6231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1253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9308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570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98629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Bergmann-Grzyb Maria</cp:lastModifiedBy>
  <cp:revision>23</cp:revision>
  <cp:lastPrinted>2018-07-10T11:57:00Z</cp:lastPrinted>
  <dcterms:created xsi:type="dcterms:W3CDTF">2015-11-17T10:05:00Z</dcterms:created>
  <dcterms:modified xsi:type="dcterms:W3CDTF">2018-07-10T11:58:00Z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