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1A0DB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>Oświadczenie o stanie kontroli zarządczej</w:t>
      </w:r>
    </w:p>
    <w:p w14:paraId="75E49C57" w14:textId="77777777" w:rsidR="00A767E8" w:rsidRPr="00CC7D9B" w:rsidRDefault="00FD559F" w:rsidP="00A767E8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Dyrektora Izby Administracji Skarbowej w Gdańsku</w:t>
      </w:r>
      <w:r w:rsidR="00A767E8" w:rsidRPr="00CC7D9B">
        <w:rPr>
          <w:rFonts w:ascii="Arial" w:hAnsi="Arial" w:cs="Arial"/>
          <w:sz w:val="18"/>
          <w:szCs w:val="18"/>
          <w:vertAlign w:val="superscript"/>
        </w:rPr>
        <w:t>1)</w:t>
      </w:r>
    </w:p>
    <w:p w14:paraId="5E4EAAF1" w14:textId="77777777" w:rsidR="00A767E8" w:rsidRPr="001A1F6D" w:rsidRDefault="00A767E8" w:rsidP="00A767E8">
      <w:pPr>
        <w:autoSpaceDE w:val="0"/>
        <w:autoSpaceDN w:val="0"/>
        <w:adjustRightInd w:val="0"/>
        <w:spacing w:before="240"/>
        <w:jc w:val="center"/>
        <w:rPr>
          <w:rFonts w:ascii="Arial" w:hAnsi="Arial" w:cs="Arial"/>
          <w:b/>
          <w:sz w:val="20"/>
          <w:szCs w:val="18"/>
        </w:rPr>
      </w:pPr>
      <w:r w:rsidRPr="001A1F6D">
        <w:rPr>
          <w:rFonts w:ascii="Arial" w:hAnsi="Arial" w:cs="Arial"/>
          <w:b/>
          <w:bCs/>
          <w:sz w:val="20"/>
          <w:szCs w:val="18"/>
        </w:rPr>
        <w:t xml:space="preserve">za rok </w:t>
      </w:r>
      <w:r w:rsidR="003A4D02">
        <w:rPr>
          <w:rFonts w:ascii="Arial" w:hAnsi="Arial" w:cs="Arial"/>
          <w:b/>
          <w:bCs/>
          <w:sz w:val="20"/>
          <w:szCs w:val="18"/>
        </w:rPr>
        <w:t>202</w:t>
      </w:r>
      <w:r w:rsidR="00A81F4E">
        <w:rPr>
          <w:rFonts w:ascii="Arial" w:hAnsi="Arial" w:cs="Arial"/>
          <w:b/>
          <w:bCs/>
          <w:sz w:val="20"/>
          <w:szCs w:val="18"/>
        </w:rPr>
        <w:t>5</w:t>
      </w:r>
    </w:p>
    <w:p w14:paraId="0B00CAC7" w14:textId="77777777" w:rsidR="00A767E8" w:rsidRPr="00CC7D9B" w:rsidRDefault="00A767E8" w:rsidP="00A767E8">
      <w:pPr>
        <w:tabs>
          <w:tab w:val="left" w:pos="2698"/>
        </w:tabs>
        <w:autoSpaceDE w:val="0"/>
        <w:autoSpaceDN w:val="0"/>
        <w:adjustRightInd w:val="0"/>
        <w:jc w:val="center"/>
        <w:rPr>
          <w:rFonts w:ascii="Arial" w:hAnsi="Arial" w:cs="Arial"/>
          <w:i/>
          <w:sz w:val="14"/>
          <w:szCs w:val="14"/>
        </w:rPr>
      </w:pPr>
      <w:r w:rsidRPr="00CC7D9B">
        <w:rPr>
          <w:rFonts w:ascii="Arial" w:hAnsi="Arial" w:cs="Arial"/>
          <w:i/>
          <w:sz w:val="14"/>
          <w:szCs w:val="14"/>
        </w:rPr>
        <w:t>(rok, za który składane jest oświadczenie)</w:t>
      </w:r>
    </w:p>
    <w:p w14:paraId="386FE4FF" w14:textId="77777777" w:rsidR="00A767E8" w:rsidRPr="00CC7D9B" w:rsidRDefault="00A767E8" w:rsidP="00A767E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>Dział I</w:t>
      </w:r>
      <w:r w:rsidRPr="00CC7D9B">
        <w:rPr>
          <w:rFonts w:ascii="Arial" w:hAnsi="Arial" w:cs="Arial"/>
          <w:sz w:val="18"/>
          <w:szCs w:val="18"/>
          <w:vertAlign w:val="superscript"/>
        </w:rPr>
        <w:t>2)</w:t>
      </w:r>
    </w:p>
    <w:p w14:paraId="37B0E706" w14:textId="77777777" w:rsidR="00A767E8" w:rsidRPr="00CC7D9B" w:rsidRDefault="00A767E8" w:rsidP="00A767E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Jako osoba odpowiedzialna za zapewnienie funkcjonowania adekwatnej, skut</w:t>
      </w:r>
      <w:r w:rsidR="00F64948">
        <w:rPr>
          <w:rFonts w:ascii="Arial" w:hAnsi="Arial" w:cs="Arial"/>
          <w:sz w:val="18"/>
          <w:szCs w:val="18"/>
        </w:rPr>
        <w:t>ecznej i efektywnej kontroli za</w:t>
      </w:r>
      <w:r w:rsidRPr="00CC7D9B">
        <w:rPr>
          <w:rFonts w:ascii="Arial" w:hAnsi="Arial" w:cs="Arial"/>
          <w:sz w:val="18"/>
          <w:szCs w:val="18"/>
        </w:rPr>
        <w:t>rządczej, tj.</w:t>
      </w:r>
      <w:r w:rsidR="00C129EA">
        <w:rPr>
          <w:rFonts w:ascii="Arial" w:hAnsi="Arial" w:cs="Arial"/>
          <w:sz w:val="18"/>
          <w:szCs w:val="18"/>
        </w:rPr>
        <w:t> </w:t>
      </w:r>
      <w:r w:rsidRPr="00CC7D9B">
        <w:rPr>
          <w:rFonts w:ascii="Arial" w:hAnsi="Arial" w:cs="Arial"/>
          <w:sz w:val="18"/>
          <w:szCs w:val="18"/>
        </w:rPr>
        <w:t>działań podejmowanych dla zapewnienia realizacji celów i zadań</w:t>
      </w:r>
      <w:r w:rsidR="00F64948">
        <w:rPr>
          <w:rFonts w:ascii="Arial" w:hAnsi="Arial" w:cs="Arial"/>
          <w:sz w:val="18"/>
          <w:szCs w:val="18"/>
        </w:rPr>
        <w:t xml:space="preserve"> w sposób zgodny z prawem, efektywny, oszczędny i </w:t>
      </w:r>
      <w:r w:rsidRPr="00CC7D9B">
        <w:rPr>
          <w:rFonts w:ascii="Arial" w:hAnsi="Arial" w:cs="Arial"/>
          <w:sz w:val="18"/>
          <w:szCs w:val="18"/>
        </w:rPr>
        <w:t>terminowy, a w szczególności dla zapewnienia:</w:t>
      </w:r>
    </w:p>
    <w:p w14:paraId="189BA999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 xml:space="preserve">zgodności działalności z </w:t>
      </w:r>
      <w:r w:rsidR="005209F9" w:rsidRPr="00CC7D9B">
        <w:rPr>
          <w:rFonts w:ascii="Arial" w:hAnsi="Arial" w:cs="Arial"/>
          <w:sz w:val="18"/>
          <w:szCs w:val="18"/>
        </w:rPr>
        <w:t>przepis</w:t>
      </w:r>
      <w:r w:rsidR="005209F9">
        <w:rPr>
          <w:rFonts w:ascii="Arial" w:hAnsi="Arial" w:cs="Arial"/>
          <w:sz w:val="18"/>
          <w:szCs w:val="18"/>
        </w:rPr>
        <w:t>ami</w:t>
      </w:r>
      <w:r w:rsidRPr="00CC7D9B">
        <w:rPr>
          <w:rFonts w:ascii="Arial" w:hAnsi="Arial" w:cs="Arial"/>
          <w:sz w:val="18"/>
          <w:szCs w:val="18"/>
        </w:rPr>
        <w:t xml:space="preserve"> prawa oraz procedurami wewnętrznymi,</w:t>
      </w:r>
    </w:p>
    <w:p w14:paraId="26C612F3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skuteczności i efektywności działania,</w:t>
      </w:r>
    </w:p>
    <w:p w14:paraId="17D1A8E1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wiarygodności sprawozdań,</w:t>
      </w:r>
    </w:p>
    <w:p w14:paraId="614886D8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ochrony zasobów,</w:t>
      </w:r>
    </w:p>
    <w:p w14:paraId="3669F4C5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przestrzegania i promowania zasad etycznego postępowania,</w:t>
      </w:r>
    </w:p>
    <w:p w14:paraId="19DFFD6A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efektywności i skuteczności przepływu informacji,</w:t>
      </w:r>
    </w:p>
    <w:p w14:paraId="410988CD" w14:textId="77777777" w:rsidR="00A767E8" w:rsidRPr="00CC7D9B" w:rsidRDefault="00A767E8" w:rsidP="00A767E8">
      <w:pPr>
        <w:tabs>
          <w:tab w:val="left" w:pos="709"/>
        </w:tabs>
        <w:autoSpaceDE w:val="0"/>
        <w:autoSpaceDN w:val="0"/>
        <w:adjustRightInd w:val="0"/>
        <w:ind w:left="709" w:hanging="283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-</w:t>
      </w:r>
      <w:r w:rsidRPr="00CC7D9B">
        <w:rPr>
          <w:rFonts w:ascii="Arial" w:hAnsi="Arial" w:cs="Arial"/>
          <w:sz w:val="18"/>
          <w:szCs w:val="18"/>
        </w:rPr>
        <w:tab/>
        <w:t>zarządzania ryzykiem,</w:t>
      </w:r>
    </w:p>
    <w:p w14:paraId="25D1EA47" w14:textId="77777777" w:rsidR="00A767E8" w:rsidRPr="00CC7D9B" w:rsidRDefault="00A767E8" w:rsidP="007B30A1">
      <w:pPr>
        <w:autoSpaceDE w:val="0"/>
        <w:autoSpaceDN w:val="0"/>
        <w:adjustRightInd w:val="0"/>
        <w:spacing w:before="240"/>
        <w:rPr>
          <w:rFonts w:ascii="Arial" w:hAnsi="Arial" w:cs="Arial"/>
          <w:sz w:val="14"/>
          <w:szCs w:val="14"/>
        </w:rPr>
      </w:pPr>
      <w:r w:rsidRPr="00CC7D9B">
        <w:rPr>
          <w:rFonts w:ascii="Arial" w:hAnsi="Arial" w:cs="Arial"/>
          <w:sz w:val="18"/>
          <w:szCs w:val="18"/>
        </w:rPr>
        <w:t>oświadc</w:t>
      </w:r>
      <w:r w:rsidR="009E109D">
        <w:rPr>
          <w:rFonts w:ascii="Arial" w:hAnsi="Arial" w:cs="Arial"/>
          <w:sz w:val="18"/>
          <w:szCs w:val="18"/>
        </w:rPr>
        <w:t>zam, że w kierowanej</w:t>
      </w:r>
      <w:r w:rsidRPr="00CC7D9B">
        <w:rPr>
          <w:rFonts w:ascii="Arial" w:hAnsi="Arial" w:cs="Arial"/>
          <w:sz w:val="18"/>
          <w:szCs w:val="18"/>
        </w:rPr>
        <w:t xml:space="preserve"> przeze mnie</w:t>
      </w:r>
      <w:r w:rsidR="007B30A1">
        <w:rPr>
          <w:rFonts w:ascii="Arial" w:hAnsi="Arial" w:cs="Arial"/>
          <w:sz w:val="18"/>
          <w:szCs w:val="18"/>
        </w:rPr>
        <w:t xml:space="preserve"> </w:t>
      </w:r>
      <w:r w:rsidR="00FD559F">
        <w:rPr>
          <w:rFonts w:ascii="Arial" w:hAnsi="Arial" w:cs="Arial"/>
          <w:b/>
          <w:bCs/>
          <w:sz w:val="18"/>
          <w:szCs w:val="18"/>
        </w:rPr>
        <w:t xml:space="preserve">Izbie Administracji Skarbowej w Gdańsku </w:t>
      </w:r>
    </w:p>
    <w:p w14:paraId="01157C6A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>Część A</w:t>
      </w:r>
      <w:r w:rsidR="000C2308">
        <w:rPr>
          <w:rFonts w:ascii="Arial" w:hAnsi="Arial" w:cs="Arial"/>
          <w:sz w:val="18"/>
          <w:szCs w:val="18"/>
          <w:vertAlign w:val="superscript"/>
        </w:rPr>
        <w:t>3</w:t>
      </w:r>
      <w:r w:rsidRPr="00CC7D9B">
        <w:rPr>
          <w:rFonts w:ascii="Arial" w:hAnsi="Arial" w:cs="Arial"/>
          <w:sz w:val="18"/>
          <w:szCs w:val="18"/>
          <w:vertAlign w:val="superscript"/>
        </w:rPr>
        <w:t>)</w:t>
      </w:r>
    </w:p>
    <w:bookmarkStart w:id="0" w:name="Wybór1"/>
    <w:p w14:paraId="3052A116" w14:textId="77777777" w:rsidR="00A767E8" w:rsidRPr="00103D51" w:rsidRDefault="00A767E8" w:rsidP="00A767E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trike/>
          <w:sz w:val="18"/>
          <w:szCs w:val="18"/>
        </w:rPr>
      </w:pPr>
      <w:r w:rsidRPr="0057274C">
        <w:rPr>
          <w:rFonts w:ascii="Arial" w:hAnsi="Arial" w:cs="Arial"/>
          <w:sz w:val="14"/>
          <w:szCs w:val="14"/>
          <w:shd w:val="clear" w:color="auto" w:fill="FFFFFF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7274C">
        <w:rPr>
          <w:rFonts w:ascii="Arial" w:hAnsi="Arial" w:cs="Arial"/>
          <w:sz w:val="14"/>
          <w:szCs w:val="14"/>
          <w:shd w:val="clear" w:color="auto" w:fill="FFFFFF"/>
        </w:rPr>
        <w:instrText xml:space="preserve"> FORMCHECKBOX </w:instrText>
      </w:r>
      <w:r w:rsidRPr="0057274C">
        <w:rPr>
          <w:rFonts w:ascii="Arial" w:hAnsi="Arial" w:cs="Arial"/>
          <w:sz w:val="14"/>
          <w:szCs w:val="14"/>
          <w:shd w:val="clear" w:color="auto" w:fill="FFFFFF"/>
        </w:rPr>
      </w:r>
      <w:r w:rsidRPr="0057274C">
        <w:rPr>
          <w:rFonts w:ascii="Arial" w:hAnsi="Arial" w:cs="Arial"/>
          <w:sz w:val="14"/>
          <w:szCs w:val="14"/>
          <w:shd w:val="clear" w:color="auto" w:fill="FFFFFF"/>
        </w:rPr>
        <w:fldChar w:fldCharType="end"/>
      </w:r>
      <w:bookmarkEnd w:id="0"/>
      <w:r w:rsidRPr="00CC7D9B">
        <w:rPr>
          <w:rFonts w:ascii="Arial" w:hAnsi="Arial" w:cs="Arial"/>
          <w:sz w:val="18"/>
          <w:szCs w:val="18"/>
        </w:rPr>
        <w:tab/>
      </w:r>
      <w:r w:rsidRPr="00103D51">
        <w:rPr>
          <w:rFonts w:ascii="Arial" w:hAnsi="Arial" w:cs="Arial"/>
          <w:strike/>
          <w:sz w:val="18"/>
          <w:szCs w:val="18"/>
        </w:rPr>
        <w:t>w wystarczającym stopniu funkcjonowała adekwatna, skuteczna i efektywna kontrola zarządcza.</w:t>
      </w:r>
    </w:p>
    <w:p w14:paraId="6CFA93C5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>Część B</w:t>
      </w:r>
      <w:r w:rsidR="000C2308">
        <w:rPr>
          <w:rFonts w:ascii="Arial" w:hAnsi="Arial" w:cs="Arial"/>
          <w:sz w:val="18"/>
          <w:szCs w:val="18"/>
          <w:vertAlign w:val="superscript"/>
        </w:rPr>
        <w:t>4</w:t>
      </w:r>
      <w:r w:rsidRPr="00CC7D9B">
        <w:rPr>
          <w:rFonts w:ascii="Arial" w:hAnsi="Arial" w:cs="Arial"/>
          <w:sz w:val="18"/>
          <w:szCs w:val="18"/>
          <w:vertAlign w:val="superscript"/>
        </w:rPr>
        <w:t>)</w:t>
      </w:r>
    </w:p>
    <w:bookmarkStart w:id="1" w:name="Wybór2"/>
    <w:p w14:paraId="6403DC8B" w14:textId="77777777" w:rsidR="00A767E8" w:rsidRPr="00CC7D9B" w:rsidRDefault="00FD559F" w:rsidP="00A767E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14"/>
          <w:szCs w:val="14"/>
        </w:rPr>
        <w:instrText>FORMCHECKBOX</w:instrText>
      </w:r>
      <w:r>
        <w:rPr>
          <w:rFonts w:ascii="Arial" w:hAnsi="Arial"/>
          <w:sz w:val="14"/>
          <w:szCs w:val="14"/>
        </w:rPr>
      </w:r>
      <w:r>
        <w:rPr>
          <w:rFonts w:ascii="Arial" w:hAnsi="Arial"/>
          <w:sz w:val="14"/>
          <w:szCs w:val="14"/>
        </w:rPr>
        <w:fldChar w:fldCharType="separate"/>
      </w:r>
      <w:r>
        <w:rPr>
          <w:rFonts w:ascii="Arial" w:hAnsi="Arial"/>
          <w:sz w:val="14"/>
          <w:szCs w:val="14"/>
        </w:rPr>
        <w:fldChar w:fldCharType="end"/>
      </w:r>
      <w:r w:rsidRPr="00CC7D9B">
        <w:rPr>
          <w:rFonts w:ascii="Arial" w:hAnsi="Arial" w:cs="Arial"/>
          <w:sz w:val="18"/>
          <w:szCs w:val="18"/>
        </w:rPr>
        <w:tab/>
      </w:r>
      <w:bookmarkEnd w:id="1"/>
      <w:r w:rsidR="00A767E8" w:rsidRPr="00CC7D9B">
        <w:rPr>
          <w:rFonts w:ascii="Arial" w:hAnsi="Arial" w:cs="Arial"/>
          <w:sz w:val="18"/>
          <w:szCs w:val="18"/>
        </w:rPr>
        <w:t xml:space="preserve">w </w:t>
      </w:r>
      <w:r w:rsidR="00A767E8" w:rsidRPr="00B650CB">
        <w:rPr>
          <w:rFonts w:ascii="Arial" w:hAnsi="Arial" w:cs="Arial"/>
          <w:b/>
          <w:bCs/>
          <w:sz w:val="18"/>
          <w:szCs w:val="18"/>
        </w:rPr>
        <w:t>ograniczonym stopniu funkcjonowała adekwatna, skuteczna i efektywna kontrola zarządcza</w:t>
      </w:r>
      <w:r w:rsidR="00A767E8" w:rsidRPr="00CC7D9B">
        <w:rPr>
          <w:rFonts w:ascii="Arial" w:hAnsi="Arial" w:cs="Arial"/>
          <w:sz w:val="18"/>
          <w:szCs w:val="18"/>
        </w:rPr>
        <w:t>.</w:t>
      </w:r>
    </w:p>
    <w:p w14:paraId="0330BF5B" w14:textId="77777777" w:rsidR="00A767E8" w:rsidRPr="002D5986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i/>
          <w:sz w:val="16"/>
          <w:szCs w:val="18"/>
        </w:rPr>
      </w:pPr>
      <w:r w:rsidRPr="002D5986">
        <w:rPr>
          <w:rFonts w:ascii="Arial" w:hAnsi="Arial" w:cs="Arial"/>
          <w:i/>
          <w:sz w:val="16"/>
          <w:szCs w:val="18"/>
        </w:rPr>
        <w:t>Zastrzeżenia dotyczące funkcjonowania kontroli zarządczej wraz z planowanymi działaniami, które zostaną</w:t>
      </w:r>
      <w:r w:rsidR="00F64948" w:rsidRPr="002D5986">
        <w:rPr>
          <w:rFonts w:ascii="Arial" w:hAnsi="Arial" w:cs="Arial"/>
          <w:i/>
          <w:sz w:val="16"/>
          <w:szCs w:val="18"/>
        </w:rPr>
        <w:t xml:space="preserve"> </w:t>
      </w:r>
      <w:r w:rsidRPr="002D5986">
        <w:rPr>
          <w:rFonts w:ascii="Arial" w:hAnsi="Arial" w:cs="Arial"/>
          <w:i/>
          <w:sz w:val="16"/>
          <w:szCs w:val="18"/>
        </w:rPr>
        <w:t>podjęte w celu poprawy funkcjonowania kontroli zarządczej, zostały opisane w dziale II oświadczenia.</w:t>
      </w:r>
    </w:p>
    <w:p w14:paraId="0029A708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>Część C</w:t>
      </w:r>
      <w:r w:rsidR="000C2308">
        <w:rPr>
          <w:rFonts w:ascii="Arial" w:hAnsi="Arial" w:cs="Arial"/>
          <w:sz w:val="18"/>
          <w:szCs w:val="18"/>
          <w:vertAlign w:val="superscript"/>
        </w:rPr>
        <w:t>5</w:t>
      </w:r>
      <w:r w:rsidRPr="00CC7D9B">
        <w:rPr>
          <w:rFonts w:ascii="Arial" w:hAnsi="Arial" w:cs="Arial"/>
          <w:sz w:val="18"/>
          <w:szCs w:val="18"/>
          <w:vertAlign w:val="superscript"/>
        </w:rPr>
        <w:t>)</w:t>
      </w:r>
    </w:p>
    <w:bookmarkStart w:id="2" w:name="Wybór3"/>
    <w:p w14:paraId="58F98E63" w14:textId="77777777" w:rsidR="00A767E8" w:rsidRPr="00CC7D9B" w:rsidRDefault="00A767E8" w:rsidP="00A767E8">
      <w:pPr>
        <w:tabs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4"/>
          <w:szCs w:val="14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r w:rsidRPr="00CC7D9B">
        <w:rPr>
          <w:rFonts w:ascii="Arial" w:hAnsi="Arial" w:cs="Arial"/>
          <w:sz w:val="14"/>
          <w:szCs w:val="14"/>
        </w:rPr>
        <w:instrText xml:space="preserve"> FORMCHECKBOX </w:instrText>
      </w:r>
      <w:r w:rsidRPr="00CC7D9B">
        <w:rPr>
          <w:rFonts w:ascii="Arial" w:hAnsi="Arial" w:cs="Arial"/>
          <w:sz w:val="14"/>
          <w:szCs w:val="14"/>
        </w:rPr>
      </w:r>
      <w:r w:rsidRPr="00CC7D9B">
        <w:rPr>
          <w:rFonts w:ascii="Arial" w:hAnsi="Arial" w:cs="Arial"/>
          <w:sz w:val="14"/>
          <w:szCs w:val="14"/>
        </w:rPr>
        <w:fldChar w:fldCharType="end"/>
      </w:r>
      <w:bookmarkEnd w:id="2"/>
      <w:r w:rsidRPr="00CC7D9B">
        <w:rPr>
          <w:rFonts w:ascii="Arial" w:hAnsi="Arial" w:cs="Arial"/>
          <w:sz w:val="18"/>
          <w:szCs w:val="18"/>
        </w:rPr>
        <w:tab/>
      </w:r>
      <w:r w:rsidRPr="00103D51">
        <w:rPr>
          <w:rFonts w:ascii="Arial" w:hAnsi="Arial" w:cs="Arial"/>
          <w:strike/>
          <w:sz w:val="18"/>
          <w:szCs w:val="18"/>
        </w:rPr>
        <w:t>nie funkcjonowała adekwatna, skuteczna i efektywna kontrola zarządcza</w:t>
      </w:r>
      <w:r w:rsidRPr="00CC7D9B">
        <w:rPr>
          <w:rFonts w:ascii="Arial" w:hAnsi="Arial" w:cs="Arial"/>
          <w:sz w:val="18"/>
          <w:szCs w:val="18"/>
        </w:rPr>
        <w:t>.</w:t>
      </w:r>
    </w:p>
    <w:p w14:paraId="78D84A71" w14:textId="77777777" w:rsidR="00A767E8" w:rsidRPr="002D5986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i/>
          <w:sz w:val="16"/>
          <w:szCs w:val="18"/>
        </w:rPr>
      </w:pPr>
      <w:r w:rsidRPr="002D5986">
        <w:rPr>
          <w:rFonts w:ascii="Arial" w:hAnsi="Arial" w:cs="Arial"/>
          <w:i/>
          <w:sz w:val="16"/>
          <w:szCs w:val="18"/>
        </w:rPr>
        <w:t>Zastrzeżenia dotyczące funkcjonowania kontroli zarządczej wraz z planowanymi działaniami, które zostaną</w:t>
      </w:r>
      <w:r w:rsidR="00F64948" w:rsidRPr="002D5986">
        <w:rPr>
          <w:rFonts w:ascii="Arial" w:hAnsi="Arial" w:cs="Arial"/>
          <w:i/>
          <w:sz w:val="16"/>
          <w:szCs w:val="18"/>
        </w:rPr>
        <w:t xml:space="preserve"> </w:t>
      </w:r>
      <w:r w:rsidRPr="002D5986">
        <w:rPr>
          <w:rFonts w:ascii="Arial" w:hAnsi="Arial" w:cs="Arial"/>
          <w:i/>
          <w:sz w:val="16"/>
          <w:szCs w:val="18"/>
        </w:rPr>
        <w:t>podjęte w celu poprawy funkcjonowania kontroli zarządczej, zostały opisane w dziale II oświadczenia.</w:t>
      </w:r>
    </w:p>
    <w:p w14:paraId="1CACC2DF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b/>
          <w:bCs/>
          <w:sz w:val="18"/>
          <w:szCs w:val="18"/>
        </w:rPr>
        <w:t>Część D</w:t>
      </w:r>
    </w:p>
    <w:p w14:paraId="2ABC9531" w14:textId="77777777" w:rsidR="00A767E8" w:rsidRPr="00CC7D9B" w:rsidRDefault="00A767E8" w:rsidP="00A767E8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 xml:space="preserve">Niniejsze oświadczenie opiera się na mojej ocenie i informacjach dostępnych </w:t>
      </w:r>
      <w:r w:rsidR="00F64948">
        <w:rPr>
          <w:rFonts w:ascii="Arial" w:hAnsi="Arial" w:cs="Arial"/>
          <w:sz w:val="18"/>
          <w:szCs w:val="18"/>
        </w:rPr>
        <w:t>w czasie sporządzania niniejsze</w:t>
      </w:r>
      <w:r w:rsidRPr="00CC7D9B">
        <w:rPr>
          <w:rFonts w:ascii="Arial" w:hAnsi="Arial" w:cs="Arial"/>
          <w:sz w:val="18"/>
          <w:szCs w:val="18"/>
        </w:rPr>
        <w:t>go oświadczenia pochodzących z:</w:t>
      </w:r>
      <w:r w:rsidR="000C2308">
        <w:rPr>
          <w:rFonts w:ascii="Arial" w:hAnsi="Arial" w:cs="Arial"/>
          <w:sz w:val="18"/>
          <w:szCs w:val="18"/>
          <w:vertAlign w:val="superscript"/>
        </w:rPr>
        <w:t>6</w:t>
      </w:r>
      <w:r w:rsidRPr="00CC7D9B">
        <w:rPr>
          <w:rFonts w:ascii="Arial" w:hAnsi="Arial" w:cs="Arial"/>
          <w:sz w:val="18"/>
          <w:szCs w:val="18"/>
          <w:vertAlign w:val="superscript"/>
        </w:rPr>
        <w:t>)</w:t>
      </w:r>
    </w:p>
    <w:bookmarkStart w:id="3" w:name="_Hlk189043260"/>
    <w:p w14:paraId="1FB44AC6" w14:textId="77777777" w:rsidR="00A767E8" w:rsidRPr="00CC7D9B" w:rsidRDefault="00612B2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14"/>
          <w:szCs w:val="14"/>
        </w:rPr>
        <w:instrText>FORMCHECKBOX</w:instrText>
      </w:r>
      <w:r>
        <w:rPr>
          <w:rFonts w:ascii="Arial" w:hAnsi="Arial"/>
          <w:sz w:val="14"/>
          <w:szCs w:val="14"/>
        </w:rPr>
      </w:r>
      <w:r>
        <w:rPr>
          <w:rFonts w:ascii="Arial" w:hAnsi="Arial"/>
          <w:sz w:val="14"/>
          <w:szCs w:val="14"/>
        </w:rPr>
        <w:fldChar w:fldCharType="separate"/>
      </w:r>
      <w:bookmarkStart w:id="4" w:name="__Fieldmark__84_1825493623"/>
      <w:bookmarkEnd w:id="4"/>
      <w:r>
        <w:rPr>
          <w:rFonts w:ascii="Arial" w:hAnsi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</w:r>
      <w:bookmarkEnd w:id="3"/>
      <w:r w:rsidR="00A767E8" w:rsidRPr="00CC7D9B">
        <w:rPr>
          <w:rFonts w:ascii="Arial" w:hAnsi="Arial" w:cs="Arial"/>
          <w:sz w:val="18"/>
          <w:szCs w:val="18"/>
        </w:rPr>
        <w:t>monitoringu realizacji celów i zadań,</w:t>
      </w:r>
    </w:p>
    <w:p w14:paraId="62A55CD4" w14:textId="77777777" w:rsidR="00A767E8" w:rsidRPr="00CC7D9B" w:rsidRDefault="00612B2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14"/>
          <w:szCs w:val="14"/>
        </w:rPr>
        <w:instrText>FORMCHECKBOX</w:instrText>
      </w:r>
      <w:r>
        <w:rPr>
          <w:rFonts w:ascii="Arial" w:hAnsi="Arial"/>
          <w:sz w:val="14"/>
          <w:szCs w:val="14"/>
        </w:rPr>
      </w:r>
      <w:r>
        <w:rPr>
          <w:rFonts w:ascii="Arial" w:hAnsi="Arial"/>
          <w:sz w:val="14"/>
          <w:szCs w:val="14"/>
        </w:rPr>
        <w:fldChar w:fldCharType="separate"/>
      </w:r>
      <w:r>
        <w:rPr>
          <w:rFonts w:ascii="Arial" w:hAnsi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samooceny kontroli zarządczej przeprowadzonej z uwzględnieniem sta</w:t>
      </w:r>
      <w:r w:rsidR="00A767E8">
        <w:rPr>
          <w:rFonts w:ascii="Arial" w:hAnsi="Arial" w:cs="Arial"/>
          <w:sz w:val="18"/>
          <w:szCs w:val="18"/>
        </w:rPr>
        <w:t>ndardów kontroli zarządczej dla</w:t>
      </w:r>
      <w:r w:rsidR="00F64948">
        <w:rPr>
          <w:rFonts w:ascii="Arial" w:hAnsi="Arial" w:cs="Arial"/>
          <w:sz w:val="18"/>
          <w:szCs w:val="18"/>
        </w:rPr>
        <w:t xml:space="preserve"> </w:t>
      </w:r>
      <w:r w:rsidR="00A767E8" w:rsidRPr="00CC7D9B">
        <w:rPr>
          <w:rFonts w:ascii="Arial" w:hAnsi="Arial" w:cs="Arial"/>
          <w:sz w:val="18"/>
          <w:szCs w:val="18"/>
        </w:rPr>
        <w:t>sektora finansów publicznych</w:t>
      </w:r>
      <w:r w:rsidR="000C2308">
        <w:rPr>
          <w:rFonts w:ascii="Arial" w:hAnsi="Arial" w:cs="Arial"/>
          <w:sz w:val="18"/>
          <w:szCs w:val="18"/>
          <w:vertAlign w:val="superscript"/>
        </w:rPr>
        <w:t>7</w:t>
      </w:r>
      <w:r w:rsidR="00A767E8" w:rsidRPr="00CC7D9B">
        <w:rPr>
          <w:rFonts w:ascii="Arial" w:hAnsi="Arial" w:cs="Arial"/>
          <w:sz w:val="18"/>
          <w:szCs w:val="18"/>
          <w:vertAlign w:val="superscript"/>
        </w:rPr>
        <w:t>)</w:t>
      </w:r>
      <w:r w:rsidR="00A767E8" w:rsidRPr="00CC7D9B">
        <w:rPr>
          <w:rFonts w:ascii="Arial" w:hAnsi="Arial" w:cs="Arial"/>
          <w:sz w:val="18"/>
          <w:szCs w:val="18"/>
        </w:rPr>
        <w:t>,</w:t>
      </w:r>
    </w:p>
    <w:p w14:paraId="7CE7151E" w14:textId="77777777" w:rsidR="00A767E8" w:rsidRPr="00CC7D9B" w:rsidRDefault="00612B2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14"/>
          <w:szCs w:val="14"/>
        </w:rPr>
        <w:instrText>FORMCHECKBOX</w:instrText>
      </w:r>
      <w:r>
        <w:rPr>
          <w:rFonts w:ascii="Arial" w:hAnsi="Arial"/>
          <w:sz w:val="14"/>
          <w:szCs w:val="14"/>
        </w:rPr>
      </w:r>
      <w:r>
        <w:rPr>
          <w:rFonts w:ascii="Arial" w:hAnsi="Arial"/>
          <w:sz w:val="14"/>
          <w:szCs w:val="14"/>
        </w:rPr>
        <w:fldChar w:fldCharType="separate"/>
      </w:r>
      <w:r>
        <w:rPr>
          <w:rFonts w:ascii="Arial" w:hAnsi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procesu zarządzania ryzykiem,</w:t>
      </w:r>
    </w:p>
    <w:p w14:paraId="48221383" w14:textId="77777777" w:rsidR="00A767E8" w:rsidRPr="00CC7D9B" w:rsidRDefault="00612B2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14"/>
          <w:szCs w:val="14"/>
        </w:rPr>
        <w:instrText>FORMCHECKBOX</w:instrText>
      </w:r>
      <w:r>
        <w:rPr>
          <w:rFonts w:ascii="Arial" w:hAnsi="Arial"/>
          <w:sz w:val="14"/>
          <w:szCs w:val="14"/>
        </w:rPr>
      </w:r>
      <w:r>
        <w:rPr>
          <w:rFonts w:ascii="Arial" w:hAnsi="Arial"/>
          <w:sz w:val="14"/>
          <w:szCs w:val="14"/>
        </w:rPr>
        <w:fldChar w:fldCharType="separate"/>
      </w:r>
      <w:r>
        <w:rPr>
          <w:rFonts w:ascii="Arial" w:hAnsi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audytu wewnętrznego,</w:t>
      </w:r>
    </w:p>
    <w:p w14:paraId="5E536CEB" w14:textId="77777777" w:rsidR="00A767E8" w:rsidRPr="00CC7D9B" w:rsidRDefault="00612B2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14"/>
          <w:szCs w:val="14"/>
        </w:rPr>
        <w:instrText>FORMCHECKBOX</w:instrText>
      </w:r>
      <w:r>
        <w:rPr>
          <w:rFonts w:ascii="Arial" w:hAnsi="Arial"/>
          <w:sz w:val="14"/>
          <w:szCs w:val="14"/>
        </w:rPr>
      </w:r>
      <w:r>
        <w:rPr>
          <w:rFonts w:ascii="Arial" w:hAnsi="Arial"/>
          <w:sz w:val="14"/>
          <w:szCs w:val="14"/>
        </w:rPr>
        <w:fldChar w:fldCharType="separate"/>
      </w:r>
      <w:r>
        <w:rPr>
          <w:rFonts w:ascii="Arial" w:hAnsi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kontroli wewnętrznych,</w:t>
      </w:r>
    </w:p>
    <w:p w14:paraId="41865587" w14:textId="77777777" w:rsidR="00A767E8" w:rsidRPr="00CC7D9B" w:rsidRDefault="00612B24" w:rsidP="00A767E8">
      <w:pPr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14"/>
          <w:szCs w:val="14"/>
        </w:rPr>
        <w:instrText>FORMCHECKBOX</w:instrText>
      </w:r>
      <w:r>
        <w:rPr>
          <w:rFonts w:ascii="Arial" w:hAnsi="Arial"/>
          <w:sz w:val="14"/>
          <w:szCs w:val="14"/>
        </w:rPr>
      </w:r>
      <w:r>
        <w:rPr>
          <w:rFonts w:ascii="Arial" w:hAnsi="Arial"/>
          <w:sz w:val="14"/>
          <w:szCs w:val="14"/>
        </w:rPr>
        <w:fldChar w:fldCharType="separate"/>
      </w:r>
      <w:r>
        <w:rPr>
          <w:rFonts w:ascii="Arial" w:hAnsi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kontroli zewnętrznych,</w:t>
      </w:r>
    </w:p>
    <w:p w14:paraId="598BF3EF" w14:textId="77777777" w:rsidR="00C129EA" w:rsidRDefault="00612B24" w:rsidP="0057274C">
      <w:pPr>
        <w:shd w:val="clear" w:color="auto" w:fill="FFFFFF"/>
        <w:autoSpaceDE w:val="0"/>
        <w:autoSpaceDN w:val="0"/>
        <w:adjustRightInd w:val="0"/>
        <w:ind w:left="756" w:hanging="330"/>
        <w:jc w:val="both"/>
        <w:rPr>
          <w:rFonts w:ascii="Arial" w:hAnsi="Arial" w:cs="Arial"/>
          <w:sz w:val="18"/>
          <w:szCs w:val="18"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0"/>
              <w:checked/>
            </w:checkBox>
          </w:ffData>
        </w:fldChar>
      </w:r>
      <w:r>
        <w:rPr>
          <w:rFonts w:ascii="Arial" w:hAnsi="Arial"/>
          <w:sz w:val="14"/>
          <w:szCs w:val="14"/>
        </w:rPr>
        <w:instrText>FORMCHECKBOX</w:instrText>
      </w:r>
      <w:r>
        <w:rPr>
          <w:rFonts w:ascii="Arial" w:hAnsi="Arial"/>
          <w:sz w:val="14"/>
          <w:szCs w:val="14"/>
        </w:rPr>
      </w:r>
      <w:r>
        <w:rPr>
          <w:rFonts w:ascii="Arial" w:hAnsi="Arial"/>
          <w:sz w:val="14"/>
          <w:szCs w:val="14"/>
        </w:rPr>
        <w:fldChar w:fldCharType="separate"/>
      </w:r>
      <w:r>
        <w:rPr>
          <w:rFonts w:ascii="Arial" w:hAnsi="Arial"/>
          <w:sz w:val="14"/>
          <w:szCs w:val="14"/>
        </w:rPr>
        <w:fldChar w:fldCharType="end"/>
      </w:r>
      <w:r w:rsidR="00A767E8" w:rsidRPr="00CC7D9B">
        <w:rPr>
          <w:rFonts w:ascii="Arial" w:hAnsi="Arial" w:cs="Arial"/>
          <w:sz w:val="18"/>
          <w:szCs w:val="18"/>
        </w:rPr>
        <w:tab/>
        <w:t>innych źródeł informacji:</w:t>
      </w:r>
      <w:r w:rsidR="00485F51">
        <w:rPr>
          <w:rFonts w:ascii="Arial" w:hAnsi="Arial" w:cs="Arial"/>
          <w:sz w:val="18"/>
          <w:szCs w:val="18"/>
        </w:rPr>
        <w:t xml:space="preserve"> </w:t>
      </w:r>
    </w:p>
    <w:p w14:paraId="6919F422" w14:textId="77777777" w:rsidR="00C129EA" w:rsidRDefault="00485F51" w:rsidP="00C129E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973B5">
        <w:rPr>
          <w:rFonts w:ascii="Arial" w:hAnsi="Arial" w:cs="Arial"/>
          <w:sz w:val="18"/>
          <w:szCs w:val="18"/>
        </w:rPr>
        <w:t>oceny stopnia realizacji założonych celów dotowanych inwestycji</w:t>
      </w:r>
      <w:r w:rsidR="00B650CB" w:rsidRPr="001973B5">
        <w:rPr>
          <w:rFonts w:ascii="Arial" w:hAnsi="Arial" w:cs="Arial"/>
          <w:sz w:val="18"/>
          <w:szCs w:val="18"/>
        </w:rPr>
        <w:t>,</w:t>
      </w:r>
    </w:p>
    <w:p w14:paraId="23B7B42A" w14:textId="77777777" w:rsidR="00C129EA" w:rsidRDefault="00B650CB" w:rsidP="00C129E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1973B5">
        <w:rPr>
          <w:rFonts w:ascii="Arial" w:hAnsi="Arial" w:cs="Arial"/>
          <w:sz w:val="18"/>
          <w:szCs w:val="18"/>
        </w:rPr>
        <w:t>raportu z realizacji kierunków i rozwoju KAS za 202</w:t>
      </w:r>
      <w:r w:rsidR="00A81F4E">
        <w:rPr>
          <w:rFonts w:ascii="Arial" w:hAnsi="Arial" w:cs="Arial"/>
          <w:sz w:val="18"/>
          <w:szCs w:val="18"/>
        </w:rPr>
        <w:t>5</w:t>
      </w:r>
      <w:r w:rsidRPr="001973B5">
        <w:rPr>
          <w:rFonts w:ascii="Arial" w:hAnsi="Arial" w:cs="Arial"/>
          <w:sz w:val="18"/>
          <w:szCs w:val="18"/>
        </w:rPr>
        <w:t xml:space="preserve"> rok, </w:t>
      </w:r>
    </w:p>
    <w:p w14:paraId="598773BE" w14:textId="77777777" w:rsidR="00C129EA" w:rsidRDefault="00A81F4E" w:rsidP="00C129E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oświadczeń</w:t>
      </w:r>
      <w:r w:rsidR="00B650CB" w:rsidRPr="001973B5">
        <w:rPr>
          <w:rFonts w:ascii="Arial" w:hAnsi="Arial" w:cs="Arial"/>
          <w:sz w:val="18"/>
          <w:szCs w:val="18"/>
        </w:rPr>
        <w:t xml:space="preserve"> z komórek organizacyjnych IAS </w:t>
      </w:r>
      <w:r w:rsidR="00C129EA">
        <w:rPr>
          <w:rFonts w:ascii="Arial" w:hAnsi="Arial" w:cs="Arial"/>
          <w:sz w:val="18"/>
          <w:szCs w:val="18"/>
        </w:rPr>
        <w:t xml:space="preserve">w </w:t>
      </w:r>
      <w:r w:rsidR="00B650CB" w:rsidRPr="001973B5">
        <w:rPr>
          <w:rFonts w:ascii="Arial" w:hAnsi="Arial" w:cs="Arial"/>
          <w:sz w:val="18"/>
          <w:szCs w:val="18"/>
        </w:rPr>
        <w:t>Gdańsk</w:t>
      </w:r>
      <w:r w:rsidR="00C129EA">
        <w:rPr>
          <w:rFonts w:ascii="Arial" w:hAnsi="Arial" w:cs="Arial"/>
          <w:sz w:val="18"/>
          <w:szCs w:val="18"/>
        </w:rPr>
        <w:t>u</w:t>
      </w:r>
      <w:r w:rsidR="00B650CB" w:rsidRPr="001973B5">
        <w:rPr>
          <w:rFonts w:ascii="Arial" w:hAnsi="Arial" w:cs="Arial"/>
          <w:sz w:val="18"/>
          <w:szCs w:val="18"/>
        </w:rPr>
        <w:t xml:space="preserve">, </w:t>
      </w:r>
    </w:p>
    <w:p w14:paraId="3C701A9D" w14:textId="77777777" w:rsidR="00FB77FB" w:rsidRDefault="00A81F4E" w:rsidP="00C129EA">
      <w:pPr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oświadczeń z </w:t>
      </w:r>
      <w:r w:rsidR="00B650CB" w:rsidRPr="001973B5">
        <w:rPr>
          <w:rFonts w:ascii="Arial" w:hAnsi="Arial" w:cs="Arial"/>
          <w:sz w:val="18"/>
          <w:szCs w:val="18"/>
        </w:rPr>
        <w:t xml:space="preserve">urzędów skarbowych </w:t>
      </w:r>
      <w:r w:rsidR="00C129EA">
        <w:rPr>
          <w:rFonts w:ascii="Arial" w:hAnsi="Arial" w:cs="Arial"/>
          <w:sz w:val="18"/>
          <w:szCs w:val="18"/>
        </w:rPr>
        <w:t>woj.</w:t>
      </w:r>
      <w:r w:rsidR="00B650CB" w:rsidRPr="001973B5">
        <w:rPr>
          <w:rFonts w:ascii="Arial" w:hAnsi="Arial" w:cs="Arial"/>
          <w:sz w:val="18"/>
          <w:szCs w:val="18"/>
        </w:rPr>
        <w:t xml:space="preserve"> pomorskiego oraz Pomorskiego Urzędu Celno-Skarbowego w Gdyni</w:t>
      </w:r>
      <w:r w:rsidR="00FB77FB">
        <w:rPr>
          <w:rFonts w:ascii="Arial" w:hAnsi="Arial" w:cs="Arial"/>
          <w:sz w:val="18"/>
          <w:szCs w:val="18"/>
        </w:rPr>
        <w:t>,</w:t>
      </w:r>
    </w:p>
    <w:p w14:paraId="33B9C3AA" w14:textId="77777777" w:rsidR="00B75F15" w:rsidRDefault="00A767E8" w:rsidP="00F6494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Jednocześnie oświadczam, że nie są mi znane inne fakty lub okoliczności, które mogłyby wpłynąć na treść</w:t>
      </w:r>
      <w:r w:rsidR="00F64948">
        <w:rPr>
          <w:rFonts w:ascii="Arial" w:hAnsi="Arial" w:cs="Arial"/>
          <w:sz w:val="18"/>
          <w:szCs w:val="18"/>
        </w:rPr>
        <w:t xml:space="preserve"> </w:t>
      </w:r>
      <w:r w:rsidRPr="00CC7D9B">
        <w:rPr>
          <w:rFonts w:ascii="Arial" w:hAnsi="Arial" w:cs="Arial"/>
          <w:sz w:val="18"/>
          <w:szCs w:val="18"/>
        </w:rPr>
        <w:t>niniejszego oświadczenia.</w:t>
      </w:r>
    </w:p>
    <w:p w14:paraId="7894274C" w14:textId="77777777" w:rsidR="00612B24" w:rsidRDefault="00612B24" w:rsidP="00A60495">
      <w:pPr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16"/>
        </w:rPr>
      </w:pPr>
    </w:p>
    <w:p w14:paraId="66B486F1" w14:textId="77777777" w:rsidR="00612B24" w:rsidRDefault="00612B24" w:rsidP="00A60495">
      <w:pPr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16"/>
        </w:rPr>
      </w:pPr>
    </w:p>
    <w:p w14:paraId="36A9C0F7" w14:textId="77777777" w:rsidR="00615798" w:rsidRPr="00615798" w:rsidRDefault="00615798" w:rsidP="00615798">
      <w:pPr>
        <w:ind w:left="3692"/>
        <w:contextualSpacing/>
        <w:jc w:val="center"/>
        <w:rPr>
          <w:rFonts w:ascii="Arial" w:hAnsi="Arial" w:cs="Arial"/>
          <w:sz w:val="20"/>
          <w:szCs w:val="20"/>
        </w:rPr>
      </w:pPr>
      <w:r w:rsidRPr="00615798">
        <w:rPr>
          <w:rFonts w:ascii="Arial" w:hAnsi="Arial" w:cs="Arial"/>
          <w:sz w:val="20"/>
          <w:szCs w:val="20"/>
        </w:rPr>
        <w:t>Dyrektor</w:t>
      </w:r>
    </w:p>
    <w:p w14:paraId="295C8F69" w14:textId="77777777" w:rsidR="00615798" w:rsidRPr="00615798" w:rsidRDefault="00615798" w:rsidP="00615798">
      <w:pPr>
        <w:ind w:left="3692"/>
        <w:contextualSpacing/>
        <w:jc w:val="center"/>
        <w:rPr>
          <w:rFonts w:ascii="Arial" w:hAnsi="Arial" w:cs="Arial"/>
          <w:sz w:val="20"/>
          <w:szCs w:val="20"/>
        </w:rPr>
      </w:pPr>
      <w:r w:rsidRPr="00615798">
        <w:rPr>
          <w:rFonts w:ascii="Arial" w:hAnsi="Arial" w:cs="Arial"/>
          <w:sz w:val="20"/>
          <w:szCs w:val="20"/>
        </w:rPr>
        <w:t>Izby Administracji Skarbowej w Gdańsku</w:t>
      </w:r>
    </w:p>
    <w:p w14:paraId="5EF67427" w14:textId="77777777" w:rsidR="00615798" w:rsidRPr="00615798" w:rsidRDefault="00615798" w:rsidP="00615798">
      <w:pPr>
        <w:ind w:left="3692"/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615798">
        <w:rPr>
          <w:rFonts w:ascii="Arial" w:hAnsi="Arial" w:cs="Arial"/>
          <w:b/>
          <w:sz w:val="20"/>
          <w:szCs w:val="20"/>
        </w:rPr>
        <w:t>Czesław Kalinowski</w:t>
      </w:r>
    </w:p>
    <w:p w14:paraId="2FD2E12C" w14:textId="77777777" w:rsidR="00615798" w:rsidRPr="00615798" w:rsidRDefault="00615798" w:rsidP="00615798">
      <w:pPr>
        <w:ind w:left="3976"/>
        <w:contextualSpacing/>
        <w:jc w:val="center"/>
        <w:rPr>
          <w:rFonts w:ascii="Arial" w:hAnsi="Arial" w:cs="Arial"/>
          <w:sz w:val="20"/>
          <w:szCs w:val="20"/>
        </w:rPr>
      </w:pPr>
      <w:r w:rsidRPr="00615798">
        <w:rPr>
          <w:rFonts w:ascii="Arial" w:hAnsi="Arial" w:cs="Arial"/>
          <w:sz w:val="20"/>
          <w:szCs w:val="20"/>
        </w:rPr>
        <w:t>(kwalifikowany podpis elektroniczny)</w:t>
      </w:r>
    </w:p>
    <w:p w14:paraId="48152921" w14:textId="77777777" w:rsidR="00612B24" w:rsidRDefault="00612B24" w:rsidP="00A60495">
      <w:pPr>
        <w:autoSpaceDE w:val="0"/>
        <w:autoSpaceDN w:val="0"/>
        <w:adjustRightInd w:val="0"/>
        <w:spacing w:before="60"/>
        <w:rPr>
          <w:rFonts w:ascii="Arial" w:hAnsi="Arial" w:cs="Arial"/>
          <w:sz w:val="16"/>
          <w:szCs w:val="16"/>
        </w:rPr>
      </w:pPr>
    </w:p>
    <w:p w14:paraId="6ED7B027" w14:textId="77777777" w:rsidR="00A60495" w:rsidRPr="00615798" w:rsidRDefault="00612B24" w:rsidP="00615798">
      <w:pPr>
        <w:autoSpaceDE w:val="0"/>
        <w:autoSpaceDN w:val="0"/>
        <w:adjustRightInd w:val="0"/>
        <w:spacing w:before="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6"/>
          <w:szCs w:val="16"/>
        </w:rPr>
        <w:t>Gdańsk</w:t>
      </w:r>
      <w:r w:rsidR="00A60495" w:rsidRPr="00C63690">
        <w:rPr>
          <w:rFonts w:ascii="Arial" w:hAnsi="Arial" w:cs="Arial"/>
          <w:sz w:val="16"/>
          <w:szCs w:val="16"/>
        </w:rPr>
        <w:t xml:space="preserve">, </w:t>
      </w:r>
      <w:r w:rsidR="00A60495">
        <w:rPr>
          <w:rFonts w:ascii="Arial" w:hAnsi="Arial" w:cs="Arial"/>
          <w:sz w:val="16"/>
          <w:szCs w:val="16"/>
        </w:rPr>
        <w:t xml:space="preserve">dnia </w:t>
      </w:r>
      <w:r w:rsidR="00A60495">
        <w:rPr>
          <w:rFonts w:ascii="Arial" w:hAnsi="Arial" w:cs="Arial"/>
          <w:sz w:val="16"/>
          <w:szCs w:val="16"/>
        </w:rPr>
        <w:fldChar w:fldCharType="begin"/>
      </w:r>
      <w:r w:rsidR="00A60495">
        <w:rPr>
          <w:rFonts w:ascii="Arial" w:hAnsi="Arial" w:cs="Arial"/>
          <w:sz w:val="16"/>
          <w:szCs w:val="16"/>
        </w:rPr>
        <w:instrText xml:space="preserve"> TIME \@ "d MMMM yyyy" </w:instrText>
      </w:r>
      <w:r w:rsidR="00A60495">
        <w:rPr>
          <w:rFonts w:ascii="Arial" w:hAnsi="Arial" w:cs="Arial"/>
          <w:sz w:val="16"/>
          <w:szCs w:val="16"/>
        </w:rPr>
        <w:fldChar w:fldCharType="separate"/>
      </w:r>
      <w:r w:rsidR="009007EB">
        <w:rPr>
          <w:rFonts w:ascii="Arial" w:hAnsi="Arial" w:cs="Arial"/>
          <w:noProof/>
          <w:sz w:val="16"/>
          <w:szCs w:val="16"/>
        </w:rPr>
        <w:t>17 lutego 2026</w:t>
      </w:r>
      <w:r w:rsidR="00A60495">
        <w:rPr>
          <w:rFonts w:ascii="Arial" w:hAnsi="Arial" w:cs="Arial"/>
          <w:sz w:val="16"/>
          <w:szCs w:val="16"/>
        </w:rPr>
        <w:fldChar w:fldCharType="end"/>
      </w:r>
      <w:r w:rsidR="00A60495">
        <w:rPr>
          <w:rFonts w:ascii="Arial" w:hAnsi="Arial" w:cs="Arial"/>
          <w:sz w:val="16"/>
          <w:szCs w:val="16"/>
        </w:rPr>
        <w:t xml:space="preserve"> r</w:t>
      </w:r>
      <w:r w:rsidR="00A60495" w:rsidRPr="00C63690">
        <w:rPr>
          <w:rFonts w:ascii="Arial" w:hAnsi="Arial" w:cs="Arial"/>
          <w:sz w:val="16"/>
          <w:szCs w:val="16"/>
        </w:rPr>
        <w:t>.</w:t>
      </w:r>
      <w:r w:rsidR="00A60495">
        <w:rPr>
          <w:rFonts w:ascii="Arial" w:hAnsi="Arial" w:cs="Arial"/>
          <w:sz w:val="20"/>
          <w:szCs w:val="20"/>
        </w:rPr>
        <w:tab/>
      </w:r>
    </w:p>
    <w:p w14:paraId="638DA7D9" w14:textId="77777777" w:rsidR="00A767E8" w:rsidRPr="009E109D" w:rsidRDefault="00A60495" w:rsidP="00615798">
      <w:pPr>
        <w:tabs>
          <w:tab w:val="right" w:pos="8804"/>
        </w:tabs>
        <w:autoSpaceDE w:val="0"/>
        <w:autoSpaceDN w:val="0"/>
        <w:adjustRightInd w:val="0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A767E8" w:rsidRPr="00CC7D9B">
        <w:rPr>
          <w:rFonts w:ascii="Arial" w:hAnsi="Arial" w:cs="Arial"/>
          <w:b/>
          <w:bCs/>
          <w:sz w:val="18"/>
          <w:szCs w:val="18"/>
        </w:rPr>
        <w:lastRenderedPageBreak/>
        <w:t>Dział II</w:t>
      </w:r>
      <w:r w:rsidR="000C2308">
        <w:rPr>
          <w:rFonts w:ascii="Arial" w:hAnsi="Arial" w:cs="Arial"/>
          <w:sz w:val="18"/>
          <w:szCs w:val="18"/>
          <w:vertAlign w:val="superscript"/>
        </w:rPr>
        <w:t>8</w:t>
      </w:r>
      <w:r w:rsidR="00A767E8" w:rsidRPr="00CC7D9B">
        <w:rPr>
          <w:rFonts w:ascii="Arial" w:hAnsi="Arial" w:cs="Arial"/>
          <w:sz w:val="18"/>
          <w:szCs w:val="18"/>
          <w:vertAlign w:val="superscript"/>
        </w:rPr>
        <w:t>)</w:t>
      </w:r>
    </w:p>
    <w:p w14:paraId="4C6D2E63" w14:textId="77777777" w:rsidR="00A767E8" w:rsidRDefault="00A767E8" w:rsidP="00FD32F7">
      <w:pPr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C51984">
        <w:rPr>
          <w:rFonts w:ascii="Arial" w:hAnsi="Arial" w:cs="Arial"/>
          <w:sz w:val="18"/>
          <w:szCs w:val="18"/>
        </w:rPr>
        <w:t>Zastrzeżenia dotyczące funkcjonowania kontroli zarządczej w roku ubiegłym.</w:t>
      </w:r>
    </w:p>
    <w:p w14:paraId="13995DCA" w14:textId="77777777" w:rsidR="00BD7F0B" w:rsidRDefault="008147C4" w:rsidP="00CE6F48">
      <w:pPr>
        <w:tabs>
          <w:tab w:val="left" w:pos="426"/>
        </w:tabs>
        <w:autoSpaceDE w:val="0"/>
        <w:autoSpaceDN w:val="0"/>
        <w:adjustRightInd w:val="0"/>
        <w:spacing w:after="120"/>
        <w:ind w:left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Zastrzeżenia dotyczące funkcjonowania kontroli zarządczej dotyczyły ustaleń kontroli wewnętrznych.</w:t>
      </w:r>
      <w:r>
        <w:rPr>
          <w:rFonts w:ascii="Arial" w:hAnsi="Arial" w:cs="Arial"/>
          <w:sz w:val="18"/>
          <w:szCs w:val="18"/>
        </w:rPr>
        <w:br/>
        <w:t>Oświadczenia, w których stwierdzono funkcjonowanie kontroli zarządczej w ograniczonym stopniu złożyli:</w:t>
      </w:r>
    </w:p>
    <w:p w14:paraId="7DAFCF58" w14:textId="77777777" w:rsidR="00CE6F48" w:rsidRDefault="00BD7F0B" w:rsidP="00CE6F48">
      <w:pPr>
        <w:tabs>
          <w:tab w:val="left" w:pos="780"/>
        </w:tabs>
        <w:autoSpaceDE w:val="0"/>
        <w:autoSpaceDN w:val="0"/>
        <w:adjustRightInd w:val="0"/>
        <w:spacing w:after="120"/>
        <w:ind w:left="780" w:hanging="213"/>
        <w:jc w:val="both"/>
        <w:rPr>
          <w:rFonts w:ascii="Arial" w:hAnsi="Arial" w:cs="Arial"/>
          <w:sz w:val="18"/>
          <w:szCs w:val="18"/>
        </w:rPr>
      </w:pPr>
      <w:r w:rsidRPr="00BD7F0B">
        <w:rPr>
          <w:rFonts w:ascii="Arial" w:hAnsi="Arial" w:cs="Arial"/>
          <w:b/>
          <w:bCs/>
          <w:sz w:val="18"/>
          <w:szCs w:val="18"/>
        </w:rPr>
        <w:t>Naczelnik Pomorskiego Urzędu Celno-Skarbowego w Gdyni</w:t>
      </w:r>
      <w:r>
        <w:rPr>
          <w:rFonts w:ascii="Arial" w:hAnsi="Arial" w:cs="Arial"/>
          <w:sz w:val="18"/>
          <w:szCs w:val="18"/>
        </w:rPr>
        <w:t>:</w:t>
      </w:r>
    </w:p>
    <w:p w14:paraId="5CB24F50" w14:textId="77777777" w:rsidR="00D47510" w:rsidRDefault="000B2421" w:rsidP="00CE6F48">
      <w:pPr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120"/>
        <w:ind w:left="1418" w:hanging="284"/>
        <w:jc w:val="both"/>
        <w:rPr>
          <w:rFonts w:ascii="Arial" w:hAnsi="Arial" w:cs="Arial"/>
          <w:sz w:val="18"/>
          <w:szCs w:val="18"/>
        </w:rPr>
      </w:pPr>
      <w:r w:rsidRPr="00C51984">
        <w:rPr>
          <w:rFonts w:ascii="Arial" w:hAnsi="Arial" w:cs="Arial"/>
          <w:sz w:val="18"/>
          <w:szCs w:val="18"/>
        </w:rPr>
        <w:t>Kontrola wewnętrzn</w:t>
      </w:r>
      <w:r w:rsidR="00F86A92">
        <w:rPr>
          <w:rFonts w:ascii="Arial" w:hAnsi="Arial" w:cs="Arial"/>
          <w:sz w:val="18"/>
          <w:szCs w:val="18"/>
        </w:rPr>
        <w:t>a</w:t>
      </w:r>
      <w:r w:rsidRPr="00C51984">
        <w:rPr>
          <w:rFonts w:ascii="Arial" w:hAnsi="Arial" w:cs="Arial"/>
          <w:sz w:val="18"/>
          <w:szCs w:val="18"/>
        </w:rPr>
        <w:t xml:space="preserve"> w </w:t>
      </w:r>
      <w:r w:rsidR="00D47510" w:rsidRPr="00C51984">
        <w:rPr>
          <w:rFonts w:ascii="Arial" w:hAnsi="Arial" w:cs="Arial"/>
          <w:sz w:val="18"/>
          <w:szCs w:val="18"/>
        </w:rPr>
        <w:t>Pomorski</w:t>
      </w:r>
      <w:r w:rsidRPr="00C51984">
        <w:rPr>
          <w:rFonts w:ascii="Arial" w:hAnsi="Arial" w:cs="Arial"/>
          <w:sz w:val="18"/>
          <w:szCs w:val="18"/>
        </w:rPr>
        <w:t>m</w:t>
      </w:r>
      <w:r w:rsidR="00D47510" w:rsidRPr="00C51984">
        <w:rPr>
          <w:rFonts w:ascii="Arial" w:hAnsi="Arial" w:cs="Arial"/>
          <w:sz w:val="18"/>
          <w:szCs w:val="18"/>
        </w:rPr>
        <w:t xml:space="preserve"> Urz</w:t>
      </w:r>
      <w:r w:rsidRPr="00C51984">
        <w:rPr>
          <w:rFonts w:ascii="Arial" w:hAnsi="Arial" w:cs="Arial"/>
          <w:sz w:val="18"/>
          <w:szCs w:val="18"/>
        </w:rPr>
        <w:t>ędzie</w:t>
      </w:r>
      <w:r w:rsidR="00D47510" w:rsidRPr="00C51984">
        <w:rPr>
          <w:rFonts w:ascii="Arial" w:hAnsi="Arial" w:cs="Arial"/>
          <w:sz w:val="18"/>
          <w:szCs w:val="18"/>
        </w:rPr>
        <w:t xml:space="preserve"> Celno-Skarbowy</w:t>
      </w:r>
      <w:r w:rsidRPr="00C51984">
        <w:rPr>
          <w:rFonts w:ascii="Arial" w:hAnsi="Arial" w:cs="Arial"/>
          <w:sz w:val="18"/>
          <w:szCs w:val="18"/>
        </w:rPr>
        <w:t>m</w:t>
      </w:r>
      <w:r w:rsidR="00D47510" w:rsidRPr="00C51984">
        <w:rPr>
          <w:rFonts w:ascii="Arial" w:hAnsi="Arial" w:cs="Arial"/>
          <w:sz w:val="18"/>
          <w:szCs w:val="18"/>
        </w:rPr>
        <w:t xml:space="preserve"> w Gdyni – w temacie „</w:t>
      </w:r>
      <w:r w:rsidR="00D47510" w:rsidRPr="00C51984">
        <w:rPr>
          <w:rFonts w:ascii="Arial" w:hAnsi="Arial" w:cs="Arial"/>
          <w:i/>
          <w:iCs/>
          <w:sz w:val="18"/>
          <w:szCs w:val="18"/>
        </w:rPr>
        <w:t>P</w:t>
      </w:r>
      <w:r w:rsidR="00A81F4E">
        <w:rPr>
          <w:rFonts w:ascii="Arial" w:hAnsi="Arial" w:cs="Arial"/>
          <w:i/>
          <w:iCs/>
          <w:sz w:val="18"/>
          <w:szCs w:val="18"/>
        </w:rPr>
        <w:t>rzyjmowanie, ewidencjonowanie oraz odprowadzenie wpłat gotówkowych na stanowiskach kasowych Pomorskiego Urzędu Celno-Skarbowego w</w:t>
      </w:r>
      <w:r w:rsidR="00D47510" w:rsidRPr="00C51984">
        <w:rPr>
          <w:rFonts w:ascii="Arial" w:hAnsi="Arial" w:cs="Arial"/>
          <w:sz w:val="18"/>
          <w:szCs w:val="18"/>
        </w:rPr>
        <w:t xml:space="preserve">”- kontrola zakończona wynikiem negatywnym, sformułowano </w:t>
      </w:r>
      <w:r w:rsidR="00782C3D">
        <w:rPr>
          <w:rFonts w:ascii="Arial" w:hAnsi="Arial" w:cs="Arial"/>
          <w:sz w:val="18"/>
          <w:szCs w:val="18"/>
        </w:rPr>
        <w:t>2</w:t>
      </w:r>
      <w:r w:rsidR="00A81F4E">
        <w:rPr>
          <w:rFonts w:ascii="Arial" w:hAnsi="Arial" w:cs="Arial"/>
          <w:sz w:val="18"/>
          <w:szCs w:val="18"/>
        </w:rPr>
        <w:t>3</w:t>
      </w:r>
      <w:r w:rsidR="00D47510" w:rsidRPr="00C51984">
        <w:rPr>
          <w:rFonts w:ascii="Arial" w:hAnsi="Arial" w:cs="Arial"/>
          <w:sz w:val="18"/>
          <w:szCs w:val="18"/>
        </w:rPr>
        <w:t xml:space="preserve"> zalece</w:t>
      </w:r>
      <w:r w:rsidR="00A81F4E">
        <w:rPr>
          <w:rFonts w:ascii="Arial" w:hAnsi="Arial" w:cs="Arial"/>
          <w:sz w:val="18"/>
          <w:szCs w:val="18"/>
        </w:rPr>
        <w:t>nia</w:t>
      </w:r>
      <w:r w:rsidR="00B30F70">
        <w:rPr>
          <w:rFonts w:ascii="Arial" w:hAnsi="Arial" w:cs="Arial"/>
          <w:sz w:val="18"/>
          <w:szCs w:val="18"/>
        </w:rPr>
        <w:t>.</w:t>
      </w:r>
      <w:r w:rsidR="00D47510" w:rsidRPr="00C51984">
        <w:rPr>
          <w:rFonts w:ascii="Arial" w:hAnsi="Arial" w:cs="Arial"/>
          <w:sz w:val="18"/>
          <w:szCs w:val="18"/>
        </w:rPr>
        <w:t xml:space="preserve"> </w:t>
      </w:r>
    </w:p>
    <w:p w14:paraId="3F99A314" w14:textId="77777777" w:rsidR="00A81F4E" w:rsidRDefault="00A81F4E" w:rsidP="00CE6F4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1418" w:hanging="284"/>
        <w:jc w:val="both"/>
        <w:rPr>
          <w:rFonts w:ascii="Arial" w:hAnsi="Arial" w:cs="Arial"/>
          <w:sz w:val="18"/>
          <w:szCs w:val="18"/>
        </w:rPr>
      </w:pPr>
      <w:r w:rsidRPr="00C51984">
        <w:rPr>
          <w:rFonts w:ascii="Arial" w:hAnsi="Arial" w:cs="Arial"/>
          <w:sz w:val="18"/>
          <w:szCs w:val="18"/>
        </w:rPr>
        <w:t>Kontrola wewnętrzn</w:t>
      </w:r>
      <w:r>
        <w:rPr>
          <w:rFonts w:ascii="Arial" w:hAnsi="Arial" w:cs="Arial"/>
          <w:sz w:val="18"/>
          <w:szCs w:val="18"/>
        </w:rPr>
        <w:t>a</w:t>
      </w:r>
      <w:r w:rsidRPr="00C51984">
        <w:rPr>
          <w:rFonts w:ascii="Arial" w:hAnsi="Arial" w:cs="Arial"/>
          <w:sz w:val="18"/>
          <w:szCs w:val="18"/>
        </w:rPr>
        <w:t xml:space="preserve"> w Pomorskim Urzędzie Celno-Skarbowym w Gdyni – w temacie </w:t>
      </w:r>
      <w:r w:rsidR="00934D2D">
        <w:rPr>
          <w:rFonts w:ascii="Arial" w:hAnsi="Arial" w:cs="Arial"/>
          <w:sz w:val="18"/>
          <w:szCs w:val="18"/>
        </w:rPr>
        <w:t>„</w:t>
      </w:r>
      <w:r w:rsidRPr="00934D2D">
        <w:rPr>
          <w:rFonts w:ascii="Arial" w:hAnsi="Arial" w:cs="Arial"/>
          <w:i/>
          <w:iCs/>
          <w:sz w:val="18"/>
          <w:szCs w:val="18"/>
        </w:rPr>
        <w:t xml:space="preserve">Prawidłowość </w:t>
      </w:r>
      <w:r w:rsidR="00547255">
        <w:rPr>
          <w:rFonts w:ascii="Arial" w:hAnsi="Arial" w:cs="Arial"/>
          <w:i/>
          <w:iCs/>
          <w:sz w:val="18"/>
          <w:szCs w:val="18"/>
        </w:rPr>
        <w:t>obiegu dokumentacji i  dokumentowania wykonywanych przez funkcjonariuszy czynności w wybranych komórkach w latach 2021-2024</w:t>
      </w:r>
      <w:r w:rsidRPr="00C51984">
        <w:rPr>
          <w:rFonts w:ascii="Arial" w:hAnsi="Arial" w:cs="Arial"/>
          <w:sz w:val="18"/>
          <w:szCs w:val="18"/>
        </w:rPr>
        <w:t xml:space="preserve">- kontrola zakończona wynikiem negatywnym, sformułowano </w:t>
      </w:r>
      <w:r w:rsidR="00547255">
        <w:rPr>
          <w:rFonts w:ascii="Arial" w:hAnsi="Arial" w:cs="Arial"/>
          <w:sz w:val="18"/>
          <w:szCs w:val="18"/>
        </w:rPr>
        <w:t>3 zalecenia</w:t>
      </w:r>
      <w:r w:rsidR="00B934A6">
        <w:rPr>
          <w:rFonts w:ascii="Arial" w:hAnsi="Arial" w:cs="Arial"/>
          <w:sz w:val="18"/>
          <w:szCs w:val="18"/>
        </w:rPr>
        <w:t>.</w:t>
      </w:r>
    </w:p>
    <w:p w14:paraId="04120924" w14:textId="77777777" w:rsidR="00BD7F0B" w:rsidRPr="00BD7F0B" w:rsidRDefault="00BD7F0B" w:rsidP="00CE6F48">
      <w:pPr>
        <w:tabs>
          <w:tab w:val="left" w:pos="426"/>
        </w:tabs>
        <w:autoSpaceDE w:val="0"/>
        <w:autoSpaceDN w:val="0"/>
        <w:adjustRightInd w:val="0"/>
        <w:spacing w:after="120"/>
        <w:ind w:left="708" w:hanging="141"/>
        <w:jc w:val="both"/>
        <w:rPr>
          <w:rFonts w:ascii="Arial" w:hAnsi="Arial" w:cs="Arial"/>
          <w:b/>
          <w:bCs/>
          <w:sz w:val="18"/>
          <w:szCs w:val="18"/>
        </w:rPr>
      </w:pPr>
      <w:r w:rsidRPr="00BD7F0B">
        <w:rPr>
          <w:rFonts w:ascii="Arial" w:hAnsi="Arial" w:cs="Arial"/>
          <w:b/>
          <w:bCs/>
          <w:sz w:val="18"/>
          <w:szCs w:val="18"/>
        </w:rPr>
        <w:t xml:space="preserve">Naczelnik Urzędu Skarbowego w Pucku </w:t>
      </w:r>
    </w:p>
    <w:p w14:paraId="42F55982" w14:textId="77777777" w:rsidR="006B39C5" w:rsidRDefault="006B39C5" w:rsidP="00CE6F48">
      <w:pPr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120"/>
        <w:ind w:left="1418" w:hanging="284"/>
        <w:jc w:val="both"/>
        <w:rPr>
          <w:rFonts w:ascii="Arial" w:hAnsi="Arial" w:cs="Arial"/>
          <w:sz w:val="18"/>
          <w:szCs w:val="18"/>
        </w:rPr>
      </w:pPr>
      <w:r w:rsidRPr="00C51984">
        <w:rPr>
          <w:rFonts w:ascii="Arial" w:hAnsi="Arial" w:cs="Arial"/>
          <w:sz w:val="18"/>
          <w:szCs w:val="18"/>
        </w:rPr>
        <w:t xml:space="preserve"> </w:t>
      </w:r>
      <w:r w:rsidR="00934D2D" w:rsidRPr="00C51984">
        <w:rPr>
          <w:rFonts w:ascii="Arial" w:hAnsi="Arial" w:cs="Arial"/>
          <w:sz w:val="18"/>
          <w:szCs w:val="18"/>
        </w:rPr>
        <w:t>Kontrola wewnętrzn</w:t>
      </w:r>
      <w:r w:rsidR="00934D2D">
        <w:rPr>
          <w:rFonts w:ascii="Arial" w:hAnsi="Arial" w:cs="Arial"/>
          <w:sz w:val="18"/>
          <w:szCs w:val="18"/>
        </w:rPr>
        <w:t>a</w:t>
      </w:r>
      <w:r w:rsidR="00934D2D" w:rsidRPr="00C51984">
        <w:rPr>
          <w:rFonts w:ascii="Arial" w:hAnsi="Arial" w:cs="Arial"/>
          <w:sz w:val="18"/>
          <w:szCs w:val="18"/>
        </w:rPr>
        <w:t xml:space="preserve"> w Urzędzie Skarbowym w </w:t>
      </w:r>
      <w:r w:rsidR="00934D2D">
        <w:rPr>
          <w:rFonts w:ascii="Arial" w:hAnsi="Arial" w:cs="Arial"/>
          <w:sz w:val="18"/>
          <w:szCs w:val="18"/>
        </w:rPr>
        <w:t>Pucku</w:t>
      </w:r>
      <w:r w:rsidR="00934D2D" w:rsidRPr="00C51984">
        <w:rPr>
          <w:rFonts w:ascii="Arial" w:hAnsi="Arial" w:cs="Arial"/>
          <w:sz w:val="18"/>
          <w:szCs w:val="18"/>
        </w:rPr>
        <w:t xml:space="preserve">– w temacie </w:t>
      </w:r>
      <w:r w:rsidR="00934D2D">
        <w:rPr>
          <w:rFonts w:ascii="Arial" w:hAnsi="Arial" w:cs="Arial"/>
          <w:sz w:val="18"/>
          <w:szCs w:val="18"/>
        </w:rPr>
        <w:t>„</w:t>
      </w:r>
      <w:r w:rsidR="00EB6460" w:rsidRPr="00EB6460">
        <w:rPr>
          <w:rFonts w:ascii="Arial" w:hAnsi="Arial" w:cs="Arial"/>
          <w:i/>
          <w:iCs/>
          <w:sz w:val="18"/>
          <w:szCs w:val="18"/>
        </w:rPr>
        <w:t>Prawidłowość i terminowość realizacji zadań związanych z rozpatrywaniem informacji sygnalnych</w:t>
      </w:r>
      <w:r w:rsidR="00EB6460">
        <w:rPr>
          <w:rFonts w:ascii="Arial" w:hAnsi="Arial" w:cs="Arial"/>
          <w:i/>
          <w:iCs/>
          <w:sz w:val="18"/>
          <w:szCs w:val="18"/>
        </w:rPr>
        <w:t>”</w:t>
      </w:r>
      <w:r w:rsidR="00933C80" w:rsidRPr="00933C80">
        <w:rPr>
          <w:sz w:val="20"/>
          <w:szCs w:val="20"/>
        </w:rPr>
        <w:t xml:space="preserve"> </w:t>
      </w:r>
      <w:r w:rsidR="00933C80" w:rsidRPr="00933C80">
        <w:rPr>
          <w:rFonts w:ascii="Arial" w:hAnsi="Arial" w:cs="Arial"/>
          <w:sz w:val="18"/>
          <w:szCs w:val="18"/>
        </w:rPr>
        <w:t>Stwierdzone w toku kontroli nieprawidłowości i uchybienia nie spowodowały następstw w aspekcie finansowym, jednak wzbudziły zastrzeżenia w zakresie prawidłowości wykonywania zadań, szczególnie w zakresie terminowości ich realizacji.</w:t>
      </w:r>
    </w:p>
    <w:p w14:paraId="5977A93D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i/>
          <w:sz w:val="16"/>
          <w:szCs w:val="16"/>
        </w:rPr>
      </w:pPr>
      <w:r w:rsidRPr="00CC7D9B">
        <w:rPr>
          <w:rFonts w:ascii="Arial" w:hAnsi="Arial" w:cs="Arial"/>
          <w:i/>
          <w:spacing w:val="-6"/>
          <w:sz w:val="16"/>
          <w:szCs w:val="16"/>
        </w:rPr>
        <w:t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</w:t>
      </w:r>
      <w:r w:rsidRPr="00CC7D9B">
        <w:rPr>
          <w:rFonts w:ascii="Arial" w:hAnsi="Arial" w:cs="Arial"/>
          <w:i/>
          <w:spacing w:val="-8"/>
          <w:sz w:val="16"/>
          <w:szCs w:val="16"/>
        </w:rPr>
        <w:t>niem, jeżeli to możliwe, elementu, którego zastrzeżenia dotyczą, w szczególności: zgodności działalności z przepisami prawa</w:t>
      </w:r>
      <w:r w:rsidR="00F64948">
        <w:rPr>
          <w:rFonts w:ascii="Arial" w:hAnsi="Arial" w:cs="Arial"/>
          <w:i/>
          <w:spacing w:val="-8"/>
          <w:sz w:val="16"/>
          <w:szCs w:val="16"/>
        </w:rPr>
        <w:t xml:space="preserve"> </w:t>
      </w:r>
      <w:r w:rsidRPr="00CC7D9B">
        <w:rPr>
          <w:rFonts w:ascii="Arial" w:hAnsi="Arial" w:cs="Arial"/>
          <w:i/>
          <w:spacing w:val="-6"/>
          <w:sz w:val="16"/>
          <w:szCs w:val="16"/>
        </w:rPr>
        <w:t>oraz procedurami wewnętrznymi, skuteczności i efektywności działania, wiarygodności sprawozdań, ochrony zasobów,</w:t>
      </w:r>
      <w:r w:rsidR="00F64948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CC7D9B">
        <w:rPr>
          <w:rFonts w:ascii="Arial" w:hAnsi="Arial" w:cs="Arial"/>
          <w:i/>
          <w:spacing w:val="-6"/>
          <w:sz w:val="16"/>
          <w:szCs w:val="16"/>
        </w:rPr>
        <w:t>przestrzegania i promowania zasad etycznego postępowania, efektywności i skuteczności przepływu informacji lub zarzą</w:t>
      </w:r>
      <w:r w:rsidRPr="00CC7D9B">
        <w:rPr>
          <w:rFonts w:ascii="Arial" w:hAnsi="Arial" w:cs="Arial"/>
          <w:i/>
          <w:sz w:val="16"/>
          <w:szCs w:val="16"/>
        </w:rPr>
        <w:t>dzania ryzykiem.</w:t>
      </w:r>
    </w:p>
    <w:p w14:paraId="5EA48145" w14:textId="77777777" w:rsidR="00A767E8" w:rsidRDefault="00A767E8" w:rsidP="00B953B2">
      <w:pPr>
        <w:numPr>
          <w:ilvl w:val="0"/>
          <w:numId w:val="1"/>
        </w:numPr>
        <w:tabs>
          <w:tab w:val="left" w:pos="424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727B32">
        <w:rPr>
          <w:rFonts w:ascii="Arial" w:hAnsi="Arial" w:cs="Arial"/>
          <w:sz w:val="18"/>
          <w:szCs w:val="18"/>
        </w:rPr>
        <w:t>Planowane działania, które zostaną podjęte w celu poprawy funkcjonowania kontroli zarządczej</w:t>
      </w:r>
      <w:r w:rsidR="00F86A92">
        <w:rPr>
          <w:rFonts w:ascii="Arial" w:hAnsi="Arial" w:cs="Arial"/>
          <w:sz w:val="18"/>
          <w:szCs w:val="18"/>
        </w:rPr>
        <w:t>:</w:t>
      </w:r>
    </w:p>
    <w:p w14:paraId="6800146C" w14:textId="77777777" w:rsidR="007F6C49" w:rsidRDefault="008053EE" w:rsidP="00B953B2">
      <w:pPr>
        <w:tabs>
          <w:tab w:val="left" w:pos="424"/>
        </w:tabs>
        <w:autoSpaceDE w:val="0"/>
        <w:autoSpaceDN w:val="0"/>
        <w:adjustRightInd w:val="0"/>
        <w:spacing w:before="120"/>
        <w:ind w:left="780" w:hanging="71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F86A92">
        <w:rPr>
          <w:rFonts w:ascii="Arial" w:hAnsi="Arial" w:cs="Arial"/>
          <w:sz w:val="18"/>
          <w:szCs w:val="18"/>
        </w:rPr>
        <w:t>d. 1)</w:t>
      </w:r>
      <w:r w:rsidR="00114245">
        <w:rPr>
          <w:rFonts w:ascii="Arial" w:hAnsi="Arial" w:cs="Arial"/>
          <w:sz w:val="18"/>
          <w:szCs w:val="18"/>
        </w:rPr>
        <w:t xml:space="preserve"> </w:t>
      </w:r>
      <w:r w:rsidR="00B953B2">
        <w:rPr>
          <w:rFonts w:ascii="Arial" w:hAnsi="Arial" w:cs="Arial"/>
          <w:sz w:val="18"/>
          <w:szCs w:val="18"/>
        </w:rPr>
        <w:t xml:space="preserve"> </w:t>
      </w:r>
      <w:r w:rsidR="00114245">
        <w:rPr>
          <w:rFonts w:ascii="Arial" w:hAnsi="Arial" w:cs="Arial"/>
          <w:sz w:val="18"/>
          <w:szCs w:val="18"/>
        </w:rPr>
        <w:t>realizacja zaleceń pokontrolnych w wyznaczonych terminach.</w:t>
      </w:r>
    </w:p>
    <w:p w14:paraId="661C63B3" w14:textId="77777777" w:rsidR="0098528C" w:rsidRPr="00727B32" w:rsidRDefault="008053EE" w:rsidP="00D4350F">
      <w:pPr>
        <w:tabs>
          <w:tab w:val="left" w:pos="424"/>
        </w:tabs>
        <w:autoSpaceDE w:val="0"/>
        <w:autoSpaceDN w:val="0"/>
        <w:adjustRightInd w:val="0"/>
        <w:spacing w:before="120" w:line="276" w:lineRule="auto"/>
        <w:ind w:left="1276" w:hanging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F86A92">
        <w:rPr>
          <w:rFonts w:ascii="Arial" w:hAnsi="Arial" w:cs="Arial"/>
          <w:sz w:val="18"/>
          <w:szCs w:val="18"/>
        </w:rPr>
        <w:t>d. 2)</w:t>
      </w:r>
      <w:r w:rsidR="00D4350F">
        <w:rPr>
          <w:rFonts w:ascii="Arial" w:hAnsi="Arial" w:cs="Arial"/>
          <w:sz w:val="18"/>
          <w:szCs w:val="18"/>
        </w:rPr>
        <w:t xml:space="preserve"> </w:t>
      </w:r>
      <w:r w:rsidR="00E04BAD">
        <w:rPr>
          <w:rFonts w:ascii="Arial" w:hAnsi="Arial" w:cs="Arial"/>
          <w:sz w:val="18"/>
          <w:szCs w:val="18"/>
        </w:rPr>
        <w:t>s</w:t>
      </w:r>
      <w:r w:rsidR="00D60B05">
        <w:rPr>
          <w:rFonts w:ascii="Arial" w:hAnsi="Arial" w:cs="Arial"/>
          <w:sz w:val="18"/>
          <w:szCs w:val="18"/>
        </w:rPr>
        <w:t xml:space="preserve">prawozdanie z przeprowadzonej kontroli zostało podpisane w styczniu 2025 roku. </w:t>
      </w:r>
      <w:r w:rsidR="00D4350F">
        <w:rPr>
          <w:rFonts w:ascii="Arial" w:hAnsi="Arial" w:cs="Arial"/>
          <w:sz w:val="18"/>
          <w:szCs w:val="18"/>
        </w:rPr>
        <w:t>Zr</w:t>
      </w:r>
      <w:r w:rsidR="00D4350F" w:rsidRPr="00727B32">
        <w:rPr>
          <w:rFonts w:ascii="Arial" w:hAnsi="Arial" w:cs="Arial"/>
          <w:sz w:val="18"/>
          <w:szCs w:val="18"/>
        </w:rPr>
        <w:t>ealiz</w:t>
      </w:r>
      <w:r w:rsidR="00D4350F">
        <w:rPr>
          <w:rFonts w:ascii="Arial" w:hAnsi="Arial" w:cs="Arial"/>
          <w:sz w:val="18"/>
          <w:szCs w:val="18"/>
        </w:rPr>
        <w:t>owano</w:t>
      </w:r>
      <w:r w:rsidR="00D4350F" w:rsidRPr="00727B32">
        <w:rPr>
          <w:rFonts w:ascii="Arial" w:hAnsi="Arial" w:cs="Arial"/>
          <w:sz w:val="18"/>
          <w:szCs w:val="18"/>
        </w:rPr>
        <w:t xml:space="preserve"> zalece</w:t>
      </w:r>
      <w:r w:rsidR="00D4350F">
        <w:rPr>
          <w:rFonts w:ascii="Arial" w:hAnsi="Arial" w:cs="Arial"/>
          <w:sz w:val="18"/>
          <w:szCs w:val="18"/>
        </w:rPr>
        <w:t xml:space="preserve">nia </w:t>
      </w:r>
      <w:r w:rsidR="00D4350F" w:rsidRPr="00727B32">
        <w:rPr>
          <w:rFonts w:ascii="Arial" w:hAnsi="Arial" w:cs="Arial"/>
          <w:sz w:val="18"/>
          <w:szCs w:val="18"/>
        </w:rPr>
        <w:t>pokontroln</w:t>
      </w:r>
      <w:r w:rsidR="00D4350F">
        <w:rPr>
          <w:rFonts w:ascii="Arial" w:hAnsi="Arial" w:cs="Arial"/>
          <w:sz w:val="18"/>
          <w:szCs w:val="18"/>
        </w:rPr>
        <w:t xml:space="preserve">e. </w:t>
      </w:r>
      <w:r w:rsidR="00D60B05">
        <w:rPr>
          <w:rFonts w:ascii="Arial" w:hAnsi="Arial" w:cs="Arial"/>
          <w:sz w:val="18"/>
          <w:szCs w:val="18"/>
        </w:rPr>
        <w:t xml:space="preserve">Nie stwierdzono dalszych </w:t>
      </w:r>
      <w:r w:rsidR="00D4350F">
        <w:rPr>
          <w:rFonts w:ascii="Arial" w:hAnsi="Arial" w:cs="Arial"/>
          <w:sz w:val="18"/>
          <w:szCs w:val="18"/>
        </w:rPr>
        <w:t>nieprawidłowości</w:t>
      </w:r>
      <w:r w:rsidR="00D60B05">
        <w:rPr>
          <w:rFonts w:ascii="Arial" w:hAnsi="Arial" w:cs="Arial"/>
          <w:sz w:val="18"/>
          <w:szCs w:val="18"/>
        </w:rPr>
        <w:t xml:space="preserve"> ani przypadków </w:t>
      </w:r>
      <w:r w:rsidR="00D4350F">
        <w:rPr>
          <w:rFonts w:ascii="Arial" w:hAnsi="Arial" w:cs="Arial"/>
          <w:sz w:val="18"/>
          <w:szCs w:val="18"/>
        </w:rPr>
        <w:t>niewykonania</w:t>
      </w:r>
      <w:r w:rsidR="00D60B05">
        <w:rPr>
          <w:rFonts w:ascii="Arial" w:hAnsi="Arial" w:cs="Arial"/>
          <w:sz w:val="18"/>
          <w:szCs w:val="18"/>
        </w:rPr>
        <w:t xml:space="preserve"> wniosków i zaleceń</w:t>
      </w:r>
      <w:r w:rsidR="00D4350F">
        <w:rPr>
          <w:rFonts w:ascii="Arial" w:hAnsi="Arial" w:cs="Arial"/>
          <w:sz w:val="18"/>
          <w:szCs w:val="18"/>
        </w:rPr>
        <w:t>.</w:t>
      </w:r>
      <w:r w:rsidR="00D60B05">
        <w:rPr>
          <w:rFonts w:ascii="Arial" w:hAnsi="Arial" w:cs="Arial"/>
          <w:sz w:val="18"/>
          <w:szCs w:val="18"/>
        </w:rPr>
        <w:t xml:space="preserve"> </w:t>
      </w:r>
    </w:p>
    <w:p w14:paraId="6A29BC84" w14:textId="77777777" w:rsidR="00FB77FB" w:rsidRPr="00EB6460" w:rsidRDefault="00F86A92" w:rsidP="00D4350F">
      <w:pPr>
        <w:tabs>
          <w:tab w:val="left" w:pos="424"/>
        </w:tabs>
        <w:autoSpaceDE w:val="0"/>
        <w:autoSpaceDN w:val="0"/>
        <w:adjustRightInd w:val="0"/>
        <w:spacing w:before="120" w:line="276" w:lineRule="auto"/>
        <w:ind w:left="1276" w:hanging="567"/>
        <w:contextualSpacing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ad. 3)</w:t>
      </w:r>
      <w:r w:rsidR="00B953B2">
        <w:rPr>
          <w:rFonts w:ascii="Arial" w:hAnsi="Arial" w:cs="Arial"/>
          <w:sz w:val="18"/>
          <w:szCs w:val="18"/>
        </w:rPr>
        <w:t xml:space="preserve"> n</w:t>
      </w:r>
      <w:r w:rsidR="00933C80">
        <w:rPr>
          <w:rFonts w:ascii="Arial" w:hAnsi="Arial" w:cs="Arial"/>
          <w:sz w:val="18"/>
          <w:szCs w:val="18"/>
        </w:rPr>
        <w:t>a 2026 rok</w:t>
      </w:r>
      <w:r w:rsidR="00EB6460" w:rsidRPr="00EB6460">
        <w:rPr>
          <w:rFonts w:ascii="Arial" w:hAnsi="Arial" w:cs="Arial"/>
          <w:sz w:val="18"/>
          <w:szCs w:val="18"/>
        </w:rPr>
        <w:t xml:space="preserve"> zaplanowano</w:t>
      </w:r>
      <w:r w:rsidR="00933C80">
        <w:rPr>
          <w:rFonts w:ascii="Arial" w:hAnsi="Arial" w:cs="Arial"/>
          <w:sz w:val="18"/>
          <w:szCs w:val="18"/>
        </w:rPr>
        <w:t xml:space="preserve"> </w:t>
      </w:r>
      <w:r w:rsidR="00EB6460" w:rsidRPr="00EB6460">
        <w:rPr>
          <w:rFonts w:ascii="Arial" w:hAnsi="Arial" w:cs="Arial"/>
          <w:sz w:val="18"/>
          <w:szCs w:val="18"/>
        </w:rPr>
        <w:t>kontrole funkcjonalne w zakresie prawidłowości i terminowości realizacji zadań związanych z rozpatrywaniem informacji sygnalnych. Dodatkowo na bieżąco monitorowane są sprawy z tego zakresu przez Naczelnika</w:t>
      </w:r>
      <w:r w:rsidR="00B934A6">
        <w:rPr>
          <w:rFonts w:ascii="Arial" w:hAnsi="Arial" w:cs="Arial"/>
          <w:sz w:val="18"/>
          <w:szCs w:val="18"/>
        </w:rPr>
        <w:t xml:space="preserve"> oraz </w:t>
      </w:r>
      <w:r w:rsidR="00B934A6" w:rsidRPr="00EB6460">
        <w:rPr>
          <w:rFonts w:ascii="Arial" w:hAnsi="Arial" w:cs="Arial"/>
          <w:sz w:val="18"/>
          <w:szCs w:val="18"/>
        </w:rPr>
        <w:t>Zastępcę Naczelnika</w:t>
      </w:r>
      <w:r w:rsidR="00B934A6">
        <w:rPr>
          <w:rFonts w:ascii="Arial" w:hAnsi="Arial" w:cs="Arial"/>
          <w:sz w:val="18"/>
          <w:szCs w:val="18"/>
        </w:rPr>
        <w:t xml:space="preserve"> Urzędu Skarbowego w w Pucku.</w:t>
      </w:r>
    </w:p>
    <w:p w14:paraId="5E3202C5" w14:textId="77777777" w:rsidR="00A767E8" w:rsidRPr="00EB6460" w:rsidRDefault="00A767E8" w:rsidP="000F1E92">
      <w:pPr>
        <w:autoSpaceDE w:val="0"/>
        <w:autoSpaceDN w:val="0"/>
        <w:adjustRightInd w:val="0"/>
        <w:spacing w:before="240" w:line="276" w:lineRule="auto"/>
        <w:jc w:val="both"/>
        <w:rPr>
          <w:rFonts w:ascii="Arial" w:hAnsi="Arial" w:cs="Arial"/>
          <w:i/>
          <w:sz w:val="16"/>
          <w:szCs w:val="16"/>
        </w:rPr>
      </w:pPr>
      <w:r w:rsidRPr="00EB6460">
        <w:rPr>
          <w:rFonts w:ascii="Arial" w:hAnsi="Arial" w:cs="Arial"/>
          <w:i/>
          <w:spacing w:val="-6"/>
          <w:sz w:val="16"/>
          <w:szCs w:val="16"/>
        </w:rPr>
        <w:t>Należy opisać kluczowe działania, które zostaną podjęte w celu poprawy funkcjonowania kontroli zarządczej w odniesieniu</w:t>
      </w:r>
      <w:r w:rsidR="00F64948" w:rsidRPr="00EB6460">
        <w:rPr>
          <w:rFonts w:ascii="Arial" w:hAnsi="Arial" w:cs="Arial"/>
          <w:i/>
          <w:spacing w:val="-6"/>
          <w:sz w:val="16"/>
          <w:szCs w:val="16"/>
        </w:rPr>
        <w:t xml:space="preserve"> </w:t>
      </w:r>
      <w:r w:rsidRPr="00EB6460">
        <w:rPr>
          <w:rFonts w:ascii="Arial" w:hAnsi="Arial" w:cs="Arial"/>
          <w:i/>
          <w:sz w:val="16"/>
          <w:szCs w:val="16"/>
        </w:rPr>
        <w:t>do złożonych zastrzeżeń, wraz z podaniem terminu ich realizacji.</w:t>
      </w:r>
    </w:p>
    <w:p w14:paraId="3FA13235" w14:textId="77777777" w:rsidR="00A767E8" w:rsidRPr="00CC7D9B" w:rsidRDefault="00A767E8" w:rsidP="00A767E8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 w:rsidRPr="00CC7D9B">
        <w:rPr>
          <w:rFonts w:ascii="Arial" w:hAnsi="Arial" w:cs="Arial"/>
          <w:b/>
          <w:bCs/>
          <w:sz w:val="20"/>
          <w:szCs w:val="20"/>
        </w:rPr>
        <w:t>Dział III</w:t>
      </w:r>
      <w:r w:rsidR="000C2308">
        <w:rPr>
          <w:rFonts w:ascii="Arial" w:hAnsi="Arial" w:cs="Arial"/>
          <w:sz w:val="20"/>
          <w:szCs w:val="20"/>
          <w:vertAlign w:val="superscript"/>
        </w:rPr>
        <w:t>9</w:t>
      </w:r>
      <w:r w:rsidRPr="00CC7D9B">
        <w:rPr>
          <w:rFonts w:ascii="Arial" w:hAnsi="Arial" w:cs="Arial"/>
          <w:sz w:val="20"/>
          <w:szCs w:val="20"/>
          <w:vertAlign w:val="superscript"/>
        </w:rPr>
        <w:t>)</w:t>
      </w:r>
    </w:p>
    <w:p w14:paraId="260FF1A6" w14:textId="77777777" w:rsidR="00A767E8" w:rsidRPr="007F6C49" w:rsidRDefault="00A767E8" w:rsidP="00A767E8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F6C49">
        <w:rPr>
          <w:rFonts w:ascii="Arial" w:hAnsi="Arial" w:cs="Arial"/>
          <w:sz w:val="20"/>
          <w:szCs w:val="20"/>
        </w:rPr>
        <w:t>Działania, które zostały podjęte w ubiegłym roku w celu poprawy funkcjonowania kontroli zarządczej.</w:t>
      </w:r>
    </w:p>
    <w:p w14:paraId="4CB63157" w14:textId="77777777" w:rsidR="00A767E8" w:rsidRDefault="00A767E8" w:rsidP="004701A7">
      <w:pPr>
        <w:numPr>
          <w:ilvl w:val="0"/>
          <w:numId w:val="8"/>
        </w:numPr>
        <w:tabs>
          <w:tab w:val="left" w:pos="424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8"/>
          <w:szCs w:val="18"/>
        </w:rPr>
      </w:pPr>
      <w:r w:rsidRPr="007F6C49">
        <w:rPr>
          <w:rFonts w:ascii="Arial" w:hAnsi="Arial" w:cs="Arial"/>
          <w:sz w:val="18"/>
          <w:szCs w:val="18"/>
        </w:rPr>
        <w:t>Działania, które zostały zaplanowane na rok, którego dotyczy oświadczenie:</w:t>
      </w:r>
    </w:p>
    <w:p w14:paraId="048FADC0" w14:textId="77777777" w:rsidR="007F4F15" w:rsidRDefault="004701A7" w:rsidP="00E04BAD">
      <w:pPr>
        <w:numPr>
          <w:ilvl w:val="0"/>
          <w:numId w:val="7"/>
        </w:numPr>
        <w:tabs>
          <w:tab w:val="left" w:pos="424"/>
        </w:tabs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ramach realizacji celów: n</w:t>
      </w:r>
      <w:r w:rsidR="00FD0A60">
        <w:rPr>
          <w:rFonts w:ascii="Arial" w:hAnsi="Arial" w:cs="Arial"/>
          <w:sz w:val="18"/>
          <w:szCs w:val="18"/>
        </w:rPr>
        <w:t>a bieżąco m</w:t>
      </w:r>
      <w:r w:rsidR="007F4F15">
        <w:rPr>
          <w:rFonts w:ascii="Arial" w:hAnsi="Arial" w:cs="Arial"/>
          <w:sz w:val="18"/>
          <w:szCs w:val="18"/>
        </w:rPr>
        <w:t>onitorowano</w:t>
      </w:r>
      <w:r w:rsidR="00FD0A60">
        <w:rPr>
          <w:rFonts w:ascii="Arial" w:hAnsi="Arial" w:cs="Arial"/>
          <w:sz w:val="18"/>
          <w:szCs w:val="18"/>
        </w:rPr>
        <w:t xml:space="preserve"> wykonanie zaplanowanych na 2025 roku wartości wskaźników</w:t>
      </w:r>
      <w:r w:rsidR="00E04BAD">
        <w:rPr>
          <w:rFonts w:ascii="Arial" w:hAnsi="Arial" w:cs="Arial"/>
          <w:sz w:val="18"/>
          <w:szCs w:val="18"/>
        </w:rPr>
        <w:t xml:space="preserve">. </w:t>
      </w:r>
      <w:r w:rsidR="008147C4">
        <w:rPr>
          <w:rFonts w:ascii="Arial" w:hAnsi="Arial" w:cs="Arial"/>
          <w:sz w:val="18"/>
          <w:szCs w:val="18"/>
        </w:rPr>
        <w:t xml:space="preserve">Organizowano narady, spotkania i szkolenia, </w:t>
      </w:r>
      <w:r w:rsidR="005D393D">
        <w:rPr>
          <w:rFonts w:ascii="Arial" w:hAnsi="Arial" w:cs="Arial"/>
          <w:sz w:val="18"/>
          <w:szCs w:val="18"/>
        </w:rPr>
        <w:t xml:space="preserve">kierowano </w:t>
      </w:r>
      <w:r w:rsidR="008147C4">
        <w:rPr>
          <w:rFonts w:ascii="Arial" w:hAnsi="Arial" w:cs="Arial"/>
          <w:sz w:val="18"/>
          <w:szCs w:val="18"/>
        </w:rPr>
        <w:t xml:space="preserve">do jednostek podległych </w:t>
      </w:r>
      <w:r w:rsidR="005D393D">
        <w:rPr>
          <w:rFonts w:ascii="Arial" w:hAnsi="Arial" w:cs="Arial"/>
          <w:sz w:val="18"/>
          <w:szCs w:val="18"/>
        </w:rPr>
        <w:t xml:space="preserve">pisma nadzorcze. </w:t>
      </w:r>
      <w:r w:rsidR="008147C4">
        <w:rPr>
          <w:rFonts w:ascii="Arial" w:hAnsi="Arial" w:cs="Arial"/>
          <w:sz w:val="18"/>
          <w:szCs w:val="18"/>
        </w:rPr>
        <w:t xml:space="preserve">Wystosowano </w:t>
      </w:r>
      <w:r w:rsidR="001C71BD">
        <w:rPr>
          <w:rFonts w:ascii="Arial" w:hAnsi="Arial" w:cs="Arial"/>
          <w:sz w:val="18"/>
          <w:szCs w:val="18"/>
        </w:rPr>
        <w:br/>
      </w:r>
      <w:r w:rsidR="008147C4">
        <w:rPr>
          <w:rFonts w:ascii="Arial" w:hAnsi="Arial" w:cs="Arial"/>
          <w:sz w:val="18"/>
          <w:szCs w:val="18"/>
        </w:rPr>
        <w:t>p</w:t>
      </w:r>
      <w:r w:rsidR="00114245">
        <w:rPr>
          <w:rFonts w:ascii="Arial" w:hAnsi="Arial" w:cs="Arial"/>
          <w:sz w:val="18"/>
          <w:szCs w:val="18"/>
        </w:rPr>
        <w:t>ism</w:t>
      </w:r>
      <w:r w:rsidR="006D3062">
        <w:rPr>
          <w:rFonts w:ascii="Arial" w:hAnsi="Arial" w:cs="Arial"/>
          <w:sz w:val="18"/>
          <w:szCs w:val="18"/>
        </w:rPr>
        <w:t>a</w:t>
      </w:r>
      <w:r w:rsidR="00114245">
        <w:rPr>
          <w:rFonts w:ascii="Arial" w:hAnsi="Arial" w:cs="Arial"/>
          <w:sz w:val="18"/>
          <w:szCs w:val="18"/>
        </w:rPr>
        <w:t xml:space="preserve"> informując</w:t>
      </w:r>
      <w:r w:rsidR="006D3062">
        <w:rPr>
          <w:rFonts w:ascii="Arial" w:hAnsi="Arial" w:cs="Arial"/>
          <w:sz w:val="18"/>
          <w:szCs w:val="18"/>
        </w:rPr>
        <w:t>e</w:t>
      </w:r>
      <w:r w:rsidR="00114245">
        <w:rPr>
          <w:rFonts w:ascii="Arial" w:hAnsi="Arial" w:cs="Arial"/>
          <w:sz w:val="18"/>
          <w:szCs w:val="18"/>
        </w:rPr>
        <w:t xml:space="preserve"> Szefa KAS</w:t>
      </w:r>
      <w:r w:rsidR="008147C4">
        <w:rPr>
          <w:rFonts w:ascii="Arial" w:hAnsi="Arial" w:cs="Arial"/>
          <w:sz w:val="18"/>
          <w:szCs w:val="18"/>
        </w:rPr>
        <w:t xml:space="preserve"> o zagrożeniu wykonania </w:t>
      </w:r>
      <w:r w:rsidR="001D34CE">
        <w:rPr>
          <w:rFonts w:ascii="Arial" w:hAnsi="Arial" w:cs="Arial"/>
          <w:sz w:val="18"/>
          <w:szCs w:val="18"/>
        </w:rPr>
        <w:t>4</w:t>
      </w:r>
      <w:r w:rsidR="00E04BAD">
        <w:rPr>
          <w:rFonts w:ascii="Arial" w:hAnsi="Arial" w:cs="Arial"/>
          <w:sz w:val="18"/>
          <w:szCs w:val="18"/>
        </w:rPr>
        <w:t xml:space="preserve"> </w:t>
      </w:r>
      <w:r w:rsidR="008147C4">
        <w:rPr>
          <w:rFonts w:ascii="Arial" w:hAnsi="Arial" w:cs="Arial"/>
          <w:sz w:val="18"/>
          <w:szCs w:val="18"/>
        </w:rPr>
        <w:t>wskaźników</w:t>
      </w:r>
      <w:r w:rsidR="00E04BAD">
        <w:rPr>
          <w:rFonts w:ascii="Arial" w:hAnsi="Arial" w:cs="Arial"/>
          <w:sz w:val="18"/>
          <w:szCs w:val="18"/>
        </w:rPr>
        <w:t xml:space="preserve"> </w:t>
      </w:r>
      <w:r w:rsidR="00E04BAD" w:rsidRPr="00E04BAD">
        <w:rPr>
          <w:rFonts w:ascii="Arial" w:hAnsi="Arial" w:cs="Arial"/>
          <w:sz w:val="18"/>
          <w:szCs w:val="18"/>
        </w:rPr>
        <w:t>wynikających z zarządzenia nr 31 Szefa Krajowej Administracji Skarbowej z dnia 24 grudnia 2024 r. w sprawie określenia kierunków działania i rozwoju Krajowej Administracji Skarbowej na 2025 r</w:t>
      </w:r>
      <w:r w:rsidR="00E04BAD">
        <w:rPr>
          <w:rFonts w:ascii="Arial" w:hAnsi="Arial" w:cs="Arial"/>
          <w:sz w:val="18"/>
          <w:szCs w:val="18"/>
        </w:rPr>
        <w:t xml:space="preserve">. </w:t>
      </w:r>
    </w:p>
    <w:p w14:paraId="17095BBF" w14:textId="77777777" w:rsidR="00E82124" w:rsidRDefault="004701A7" w:rsidP="00E04BA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ramach kontroli wewnętrznej w temacie „</w:t>
      </w:r>
      <w:r w:rsidRPr="004701A7">
        <w:rPr>
          <w:rFonts w:ascii="Arial" w:hAnsi="Arial" w:cs="Arial"/>
          <w:i/>
          <w:iCs/>
          <w:sz w:val="18"/>
          <w:szCs w:val="18"/>
        </w:rPr>
        <w:t>Prawidłowość przebiegu czynności procesowych w postępowaniu przygotowawczym w wybranej sprawie dochodzeniowo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 w:rsidRPr="004701A7">
        <w:rPr>
          <w:rFonts w:ascii="Arial" w:hAnsi="Arial" w:cs="Arial"/>
          <w:i/>
          <w:iCs/>
          <w:sz w:val="18"/>
          <w:szCs w:val="18"/>
        </w:rPr>
        <w:t>śledczej</w:t>
      </w:r>
      <w:r>
        <w:rPr>
          <w:rFonts w:ascii="Arial" w:hAnsi="Arial" w:cs="Arial"/>
          <w:i/>
          <w:iCs/>
          <w:sz w:val="18"/>
          <w:szCs w:val="18"/>
        </w:rPr>
        <w:t>” : z</w:t>
      </w:r>
      <w:r w:rsidR="007F4F15">
        <w:rPr>
          <w:rFonts w:ascii="Arial" w:hAnsi="Arial" w:cs="Arial"/>
          <w:sz w:val="18"/>
          <w:szCs w:val="18"/>
        </w:rPr>
        <w:t>realizowano zalecenia pokontrolne.</w:t>
      </w:r>
    </w:p>
    <w:p w14:paraId="5D115C51" w14:textId="77777777" w:rsidR="00842B12" w:rsidRDefault="00DE4C79" w:rsidP="00E04BAD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 w:rsidRPr="00DE4C79">
        <w:rPr>
          <w:rFonts w:ascii="Arial" w:hAnsi="Arial" w:cs="Arial"/>
          <w:sz w:val="18"/>
          <w:szCs w:val="18"/>
        </w:rPr>
        <w:t>We wszystkich komórkach organizacyjnych Wydziałów Dochodzeniowo- Śledczych,</w:t>
      </w:r>
      <w:r>
        <w:rPr>
          <w:rFonts w:ascii="Arial" w:hAnsi="Arial" w:cs="Arial"/>
          <w:sz w:val="18"/>
          <w:szCs w:val="18"/>
        </w:rPr>
        <w:t xml:space="preserve"> </w:t>
      </w:r>
      <w:r w:rsidRPr="00DE4C79">
        <w:rPr>
          <w:rFonts w:ascii="Arial" w:hAnsi="Arial" w:cs="Arial"/>
          <w:sz w:val="18"/>
          <w:szCs w:val="18"/>
        </w:rPr>
        <w:t xml:space="preserve">przeprowadzono szkolenia </w:t>
      </w:r>
      <w:r w:rsidR="001C71BD">
        <w:rPr>
          <w:rFonts w:ascii="Arial" w:hAnsi="Arial" w:cs="Arial"/>
          <w:sz w:val="18"/>
          <w:szCs w:val="18"/>
        </w:rPr>
        <w:br/>
      </w:r>
      <w:r w:rsidRPr="00DE4C79">
        <w:rPr>
          <w:rFonts w:ascii="Arial" w:hAnsi="Arial" w:cs="Arial"/>
          <w:sz w:val="18"/>
          <w:szCs w:val="18"/>
        </w:rPr>
        <w:t xml:space="preserve">z zakresu zabezpieczania dowodów w postępowaniu przygotowawczym. Dodatkowo szkolenie w tym temacie pt. "Gromadzenie materiału dowodowego. Zasady prowadzenia akt postępowania przygotowawczego" zostało przeprowadzone w trzech lokalizacjach </w:t>
      </w:r>
      <w:r>
        <w:rPr>
          <w:rFonts w:ascii="Arial" w:hAnsi="Arial" w:cs="Arial"/>
          <w:sz w:val="18"/>
          <w:szCs w:val="18"/>
        </w:rPr>
        <w:t xml:space="preserve">PUCS </w:t>
      </w:r>
      <w:r w:rsidRPr="00DE4C79">
        <w:rPr>
          <w:rFonts w:ascii="Arial" w:hAnsi="Arial" w:cs="Arial"/>
          <w:sz w:val="18"/>
          <w:szCs w:val="18"/>
        </w:rPr>
        <w:t>tj. Słupsk, Gdynia, Gdańsk ul. Chłopska 3, przez trenera KAS - podinsp. Iwonę Hellak.</w:t>
      </w:r>
      <w:r w:rsidRPr="00DE4C79">
        <w:t xml:space="preserve"> </w:t>
      </w:r>
      <w:r w:rsidRPr="00DE4C79">
        <w:rPr>
          <w:rFonts w:ascii="Arial" w:hAnsi="Arial" w:cs="Arial"/>
          <w:sz w:val="18"/>
          <w:szCs w:val="18"/>
        </w:rPr>
        <w:t>Trwają końcowe prace (etap ostatecznego opiniowania), nad wdrożeniem procedury komunikacji na linii komórki analizy ryzyka – oddziały celne, komórki operacyjno-rozpoznawcze, komórki techniki, komórki dochodzeniowo – śledcze. Przedmiotowa procedura ma zostać wpisana w Kompendium CZNG i CZNC.</w:t>
      </w:r>
    </w:p>
    <w:p w14:paraId="7E0F7686" w14:textId="77777777" w:rsidR="00DE4C79" w:rsidRDefault="00842B12" w:rsidP="00E04BAD">
      <w:pPr>
        <w:autoSpaceDE w:val="0"/>
        <w:autoSpaceDN w:val="0"/>
        <w:adjustRightInd w:val="0"/>
        <w:spacing w:line="276" w:lineRule="auto"/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Monitoring obciążeń i terminowości wykonywanych zadań prowadzony był na bieżąco przez kierowników komórek organizacyjnych.</w:t>
      </w:r>
      <w:r w:rsidR="001D34CE">
        <w:rPr>
          <w:rFonts w:ascii="Arial" w:hAnsi="Arial" w:cs="Arial"/>
          <w:sz w:val="18"/>
          <w:szCs w:val="18"/>
        </w:rPr>
        <w:t xml:space="preserve"> Dzięki bieżącej kontroli funkcjonalnej do minimum zredukowano ilość błędów i braków w zakresie wpisów do SI ESKS.</w:t>
      </w:r>
      <w:r>
        <w:rPr>
          <w:rFonts w:ascii="Arial" w:hAnsi="Arial" w:cs="Arial"/>
          <w:sz w:val="18"/>
          <w:szCs w:val="18"/>
        </w:rPr>
        <w:t xml:space="preserve"> </w:t>
      </w:r>
      <w:r w:rsidR="001C71BD">
        <w:rPr>
          <w:rFonts w:ascii="Arial" w:hAnsi="Arial" w:cs="Arial"/>
          <w:sz w:val="18"/>
          <w:szCs w:val="18"/>
        </w:rPr>
        <w:t xml:space="preserve">Dalsza </w:t>
      </w:r>
      <w:r w:rsidR="00DE4C79" w:rsidRPr="00DE4C79">
        <w:rPr>
          <w:rFonts w:ascii="Arial" w:hAnsi="Arial" w:cs="Arial"/>
          <w:sz w:val="18"/>
          <w:szCs w:val="18"/>
        </w:rPr>
        <w:t>współprac</w:t>
      </w:r>
      <w:r w:rsidR="001C71BD">
        <w:rPr>
          <w:rFonts w:ascii="Arial" w:hAnsi="Arial" w:cs="Arial"/>
          <w:sz w:val="18"/>
          <w:szCs w:val="18"/>
        </w:rPr>
        <w:t>a</w:t>
      </w:r>
      <w:r w:rsidR="00DE4C79" w:rsidRPr="00DE4C79">
        <w:rPr>
          <w:rFonts w:ascii="Arial" w:hAnsi="Arial" w:cs="Arial"/>
          <w:sz w:val="18"/>
          <w:szCs w:val="18"/>
        </w:rPr>
        <w:t xml:space="preserve"> z Prokuraturą w zakresie zabezpieczeń majątkowych przyniosł</w:t>
      </w:r>
      <w:r w:rsidR="001C71BD">
        <w:rPr>
          <w:rFonts w:ascii="Arial" w:hAnsi="Arial" w:cs="Arial"/>
          <w:sz w:val="18"/>
          <w:szCs w:val="18"/>
        </w:rPr>
        <w:t>a</w:t>
      </w:r>
      <w:r w:rsidR="00DE4C79" w:rsidRPr="00DE4C79">
        <w:rPr>
          <w:rFonts w:ascii="Arial" w:hAnsi="Arial" w:cs="Arial"/>
          <w:sz w:val="18"/>
          <w:szCs w:val="18"/>
        </w:rPr>
        <w:t xml:space="preserve"> skutek </w:t>
      </w:r>
      <w:r w:rsidR="001C71BD">
        <w:rPr>
          <w:rFonts w:ascii="Arial" w:hAnsi="Arial" w:cs="Arial"/>
          <w:sz w:val="18"/>
          <w:szCs w:val="18"/>
        </w:rPr>
        <w:br/>
      </w:r>
      <w:r w:rsidR="00DE4C79" w:rsidRPr="00DE4C79">
        <w:rPr>
          <w:rFonts w:ascii="Arial" w:hAnsi="Arial" w:cs="Arial"/>
          <w:sz w:val="18"/>
          <w:szCs w:val="18"/>
        </w:rPr>
        <w:t>w postaci zwiększenia wartości zabezpieczonego mienia w postepowaniu karnym i karnym</w:t>
      </w:r>
      <w:r w:rsidR="00DE4C79">
        <w:rPr>
          <w:rFonts w:ascii="Arial" w:hAnsi="Arial" w:cs="Arial"/>
          <w:sz w:val="18"/>
          <w:szCs w:val="18"/>
        </w:rPr>
        <w:t xml:space="preserve"> skarbowym.</w:t>
      </w:r>
    </w:p>
    <w:p w14:paraId="3242F07C" w14:textId="77777777" w:rsidR="009F2C31" w:rsidRPr="009F2C31" w:rsidRDefault="009F2C31" w:rsidP="00E04BAD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i/>
          <w:sz w:val="18"/>
          <w:szCs w:val="18"/>
        </w:rPr>
      </w:pPr>
      <w:r w:rsidRPr="009F2C31">
        <w:rPr>
          <w:rFonts w:ascii="Arial" w:hAnsi="Arial" w:cs="Arial"/>
          <w:sz w:val="18"/>
          <w:szCs w:val="18"/>
        </w:rPr>
        <w:t>w</w:t>
      </w:r>
      <w:r w:rsidR="004701A7" w:rsidRPr="009F2C31">
        <w:rPr>
          <w:rFonts w:ascii="Arial" w:hAnsi="Arial" w:cs="Arial"/>
          <w:sz w:val="18"/>
          <w:szCs w:val="18"/>
        </w:rPr>
        <w:t xml:space="preserve"> ramach zadania audytowego</w:t>
      </w:r>
      <w:r w:rsidR="00B953B2" w:rsidRPr="009F2C31">
        <w:rPr>
          <w:rFonts w:ascii="Arial" w:hAnsi="Arial" w:cs="Arial"/>
          <w:sz w:val="18"/>
          <w:szCs w:val="18"/>
        </w:rPr>
        <w:t xml:space="preserve"> ”</w:t>
      </w:r>
      <w:r w:rsidR="00B953B2" w:rsidRPr="009F2C31">
        <w:rPr>
          <w:rFonts w:ascii="Arial" w:hAnsi="Arial" w:cs="Arial"/>
          <w:i/>
          <w:iCs/>
          <w:sz w:val="18"/>
          <w:szCs w:val="18"/>
        </w:rPr>
        <w:t>Racjonalność i efektywność wdrożonych przez Dyrektora Izby Administracji Skarbowej w Gdańsku rozwiązań w obszarze analizy oświadczeń o stanie majątkowym, składanych przez pracowników i funkcjonariuszy SCS po wdrożeniu przez Szefa KAS zaleceń w tym obszarze</w:t>
      </w:r>
      <w:r w:rsidR="00B953B2" w:rsidRPr="009F2C31">
        <w:rPr>
          <w:rFonts w:ascii="Arial" w:hAnsi="Arial" w:cs="Arial"/>
          <w:sz w:val="18"/>
          <w:szCs w:val="18"/>
        </w:rPr>
        <w:t>”.</w:t>
      </w:r>
      <w:r w:rsidRPr="003C21AD">
        <w:rPr>
          <w:rFonts w:ascii="Calibri" w:hAnsi="Calibri" w:cs="Calibri"/>
        </w:rPr>
        <w:t xml:space="preserve"> </w:t>
      </w:r>
      <w:r w:rsidRPr="009F2C31">
        <w:rPr>
          <w:rFonts w:ascii="Arial" w:hAnsi="Arial" w:cs="Arial"/>
          <w:sz w:val="18"/>
          <w:szCs w:val="18"/>
        </w:rPr>
        <w:t>27 lutego 2025 roku na mocy zarządzenia nr 19/2025 DIAS w Gdańsku weszła w życie nowa instrukcja „Analiza oświadczeń o stanie majątkowym pracowników i funkcjonariuszy Służby Celno-Skarbowej w Izbie Administracji Skarbowej w Gdańsku”</w:t>
      </w:r>
      <w:r w:rsidR="00B934A6">
        <w:rPr>
          <w:rFonts w:ascii="Arial" w:hAnsi="Arial" w:cs="Arial"/>
          <w:sz w:val="18"/>
          <w:szCs w:val="18"/>
        </w:rPr>
        <w:t>.</w:t>
      </w:r>
    </w:p>
    <w:p w14:paraId="4D109DFC" w14:textId="77777777" w:rsidR="00A767E8" w:rsidRPr="009F2C31" w:rsidRDefault="00A767E8" w:rsidP="009F2C31">
      <w:pPr>
        <w:autoSpaceDE w:val="0"/>
        <w:autoSpaceDN w:val="0"/>
        <w:adjustRightInd w:val="0"/>
        <w:spacing w:before="240"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9F2C31">
        <w:rPr>
          <w:rFonts w:ascii="Arial" w:hAnsi="Arial" w:cs="Arial"/>
          <w:i/>
          <w:sz w:val="16"/>
          <w:szCs w:val="16"/>
        </w:rPr>
        <w:lastRenderedPageBreak/>
        <w:t>Należy opisać najistotniejsze działania, jakie zostały podjęte w roku, którego dotyczy niniejsze oświadczenie w odniesieniu</w:t>
      </w:r>
      <w:r w:rsidR="00F64948" w:rsidRPr="009F2C31">
        <w:rPr>
          <w:rFonts w:ascii="Arial" w:hAnsi="Arial" w:cs="Arial"/>
          <w:i/>
          <w:sz w:val="16"/>
          <w:szCs w:val="16"/>
        </w:rPr>
        <w:t xml:space="preserve"> </w:t>
      </w:r>
      <w:r w:rsidRPr="009F2C31">
        <w:rPr>
          <w:rFonts w:ascii="Arial" w:hAnsi="Arial" w:cs="Arial"/>
          <w:i/>
          <w:sz w:val="16"/>
          <w:szCs w:val="16"/>
        </w:rPr>
        <w:t xml:space="preserve">do planowanych działań wskazanych w dziale II oświadczenia za rok poprzedzający rok, którego dotyczy niniejsze oświadczenie. </w:t>
      </w:r>
    </w:p>
    <w:p w14:paraId="1189BDB1" w14:textId="77777777" w:rsidR="00A767E8" w:rsidRPr="00CC7D9B" w:rsidRDefault="00A767E8" w:rsidP="00CB6C59">
      <w:pPr>
        <w:tabs>
          <w:tab w:val="left" w:pos="424"/>
        </w:tabs>
        <w:autoSpaceDE w:val="0"/>
        <w:autoSpaceDN w:val="0"/>
        <w:adjustRightInd w:val="0"/>
        <w:spacing w:before="120" w:after="120"/>
        <w:ind w:left="425" w:hanging="425"/>
        <w:jc w:val="both"/>
        <w:rPr>
          <w:rFonts w:ascii="Arial" w:hAnsi="Arial" w:cs="Arial"/>
          <w:sz w:val="18"/>
          <w:szCs w:val="18"/>
        </w:rPr>
      </w:pPr>
      <w:r w:rsidRPr="00CC7D9B">
        <w:rPr>
          <w:rFonts w:ascii="Arial" w:hAnsi="Arial" w:cs="Arial"/>
          <w:sz w:val="18"/>
          <w:szCs w:val="18"/>
        </w:rPr>
        <w:t>2.</w:t>
      </w:r>
      <w:r w:rsidRPr="00CC7D9B">
        <w:rPr>
          <w:rFonts w:ascii="Arial" w:hAnsi="Arial" w:cs="Arial"/>
          <w:sz w:val="18"/>
          <w:szCs w:val="18"/>
        </w:rPr>
        <w:tab/>
        <w:t>Pozostałe działania:</w:t>
      </w:r>
    </w:p>
    <w:p w14:paraId="6C3EED6A" w14:textId="77777777" w:rsidR="00CB6C59" w:rsidRDefault="00CB6C59" w:rsidP="00CB6C59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i/>
          <w:sz w:val="16"/>
          <w:szCs w:val="16"/>
        </w:rPr>
      </w:pPr>
      <w:r w:rsidRPr="00CB6C5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</w:t>
      </w:r>
      <w:r>
        <w:rPr>
          <w:rFonts w:ascii="Arial" w:hAnsi="Arial" w:cs="Arial"/>
          <w:sz w:val="18"/>
          <w:szCs w:val="18"/>
        </w:rPr>
        <w:t>.</w:t>
      </w:r>
      <w:r w:rsidRPr="00CB6C59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………………………………………………………………………………………………………………………………………………………….………………………………………………</w:t>
      </w:r>
      <w:r>
        <w:rPr>
          <w:rFonts w:ascii="Arial" w:hAnsi="Arial" w:cs="Arial"/>
          <w:sz w:val="18"/>
          <w:szCs w:val="18"/>
        </w:rPr>
        <w:t>……………………………………………………………………………………</w:t>
      </w:r>
      <w:r w:rsidRPr="00CB6C59">
        <w:rPr>
          <w:rFonts w:ascii="Arial" w:hAnsi="Arial" w:cs="Arial"/>
          <w:sz w:val="18"/>
          <w:szCs w:val="18"/>
        </w:rPr>
        <w:t>………</w:t>
      </w:r>
    </w:p>
    <w:p w14:paraId="4526EB9A" w14:textId="77777777" w:rsidR="00A767E8" w:rsidRPr="00CC7D9B" w:rsidRDefault="00A767E8" w:rsidP="00A767E8">
      <w:pPr>
        <w:autoSpaceDE w:val="0"/>
        <w:autoSpaceDN w:val="0"/>
        <w:adjustRightInd w:val="0"/>
        <w:jc w:val="both"/>
        <w:rPr>
          <w:rFonts w:ascii="Arial" w:hAnsi="Arial" w:cs="Arial"/>
          <w:i/>
          <w:sz w:val="16"/>
          <w:szCs w:val="16"/>
        </w:rPr>
      </w:pPr>
      <w:r w:rsidRPr="00CC7D9B">
        <w:rPr>
          <w:rFonts w:ascii="Arial" w:hAnsi="Arial" w:cs="Arial"/>
          <w:i/>
          <w:sz w:val="16"/>
          <w:szCs w:val="16"/>
        </w:rPr>
        <w:t>Należy opisać najistotniejsze działania, niezaplanowane w oświadczeniu za rok poprzedzający</w:t>
      </w:r>
      <w:r>
        <w:rPr>
          <w:rFonts w:ascii="Arial" w:hAnsi="Arial" w:cs="Arial"/>
          <w:i/>
          <w:sz w:val="16"/>
          <w:szCs w:val="16"/>
        </w:rPr>
        <w:t xml:space="preserve"> rok, którego dotyczy niniejsze</w:t>
      </w:r>
      <w:r w:rsidR="00F64948">
        <w:rPr>
          <w:rFonts w:ascii="Arial" w:hAnsi="Arial" w:cs="Arial"/>
          <w:i/>
          <w:sz w:val="16"/>
          <w:szCs w:val="16"/>
        </w:rPr>
        <w:t> </w:t>
      </w:r>
      <w:r w:rsidRPr="00CC7D9B">
        <w:rPr>
          <w:rFonts w:ascii="Arial" w:hAnsi="Arial" w:cs="Arial"/>
          <w:i/>
          <w:sz w:val="16"/>
          <w:szCs w:val="16"/>
        </w:rPr>
        <w:t>oświadczenie, jeżeli takie działania zostały podjęte.</w:t>
      </w:r>
    </w:p>
    <w:p w14:paraId="01294299" w14:textId="77777777" w:rsidR="00A767E8" w:rsidRPr="00CC7D9B" w:rsidRDefault="00A767E8" w:rsidP="00A767E8">
      <w:pPr>
        <w:autoSpaceDE w:val="0"/>
        <w:autoSpaceDN w:val="0"/>
        <w:adjustRightInd w:val="0"/>
        <w:spacing w:before="240"/>
        <w:jc w:val="both"/>
        <w:rPr>
          <w:rFonts w:ascii="Arial" w:hAnsi="Arial" w:cs="Arial"/>
          <w:spacing w:val="26"/>
          <w:sz w:val="16"/>
          <w:szCs w:val="16"/>
        </w:rPr>
      </w:pPr>
      <w:r w:rsidRPr="00CC7D9B">
        <w:rPr>
          <w:rFonts w:ascii="Arial" w:hAnsi="Arial" w:cs="Arial"/>
          <w:b/>
          <w:bCs/>
          <w:spacing w:val="26"/>
          <w:sz w:val="16"/>
          <w:szCs w:val="16"/>
        </w:rPr>
        <w:t>Objaśnienia:</w:t>
      </w:r>
    </w:p>
    <w:p w14:paraId="26EC9E48" w14:textId="77777777" w:rsidR="00A767E8" w:rsidRPr="00CC7D9B" w:rsidRDefault="00A767E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CC7D9B">
        <w:rPr>
          <w:rFonts w:ascii="Arial" w:hAnsi="Arial" w:cs="Arial"/>
          <w:sz w:val="16"/>
          <w:szCs w:val="16"/>
          <w:vertAlign w:val="superscript"/>
        </w:rPr>
        <w:t>1)</w:t>
      </w:r>
      <w:r w:rsidRPr="00CC7D9B">
        <w:rPr>
          <w:rFonts w:ascii="Arial" w:hAnsi="Arial" w:cs="Arial"/>
          <w:sz w:val="16"/>
          <w:szCs w:val="16"/>
        </w:rPr>
        <w:tab/>
        <w:t xml:space="preserve">Należy podać </w:t>
      </w:r>
      <w:r w:rsidR="000C2308">
        <w:rPr>
          <w:rFonts w:ascii="Arial" w:hAnsi="Arial" w:cs="Arial"/>
          <w:sz w:val="16"/>
          <w:szCs w:val="16"/>
        </w:rPr>
        <w:t>nazwę pełnionej</w:t>
      </w:r>
      <w:r w:rsidRPr="00CC7D9B">
        <w:rPr>
          <w:rFonts w:ascii="Arial" w:hAnsi="Arial" w:cs="Arial"/>
          <w:sz w:val="16"/>
          <w:szCs w:val="16"/>
        </w:rPr>
        <w:t xml:space="preserve"> funkcji</w:t>
      </w:r>
      <w:r w:rsidR="000C2308">
        <w:rPr>
          <w:rFonts w:ascii="Arial" w:hAnsi="Arial" w:cs="Arial"/>
          <w:sz w:val="16"/>
          <w:szCs w:val="16"/>
        </w:rPr>
        <w:t xml:space="preserve"> oraz nazwę komórki organizacyjnej</w:t>
      </w:r>
      <w:r w:rsidRPr="00CC7D9B">
        <w:rPr>
          <w:rFonts w:ascii="Arial" w:hAnsi="Arial" w:cs="Arial"/>
          <w:sz w:val="16"/>
          <w:szCs w:val="16"/>
        </w:rPr>
        <w:t>.</w:t>
      </w:r>
    </w:p>
    <w:p w14:paraId="5E80FA8F" w14:textId="77777777" w:rsidR="00A767E8" w:rsidRPr="00CC7D9B" w:rsidRDefault="00A767E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CC7D9B">
        <w:rPr>
          <w:rFonts w:ascii="Arial" w:hAnsi="Arial" w:cs="Arial"/>
          <w:sz w:val="16"/>
          <w:szCs w:val="16"/>
          <w:vertAlign w:val="superscript"/>
        </w:rPr>
        <w:t>2)</w:t>
      </w:r>
      <w:r w:rsidRPr="00CC7D9B">
        <w:rPr>
          <w:rFonts w:ascii="Arial" w:hAnsi="Arial" w:cs="Arial"/>
          <w:sz w:val="16"/>
          <w:szCs w:val="16"/>
        </w:rPr>
        <w:tab/>
        <w:t>W dziale I, w zależności od wyników oceny stanu kontroli zarządczej, wypełnia się tylko jedn</w:t>
      </w:r>
      <w:r>
        <w:rPr>
          <w:rFonts w:ascii="Arial" w:hAnsi="Arial" w:cs="Arial"/>
          <w:sz w:val="16"/>
          <w:szCs w:val="16"/>
        </w:rPr>
        <w:t>ą część z części A albo B, albo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Pr="00CC7D9B">
        <w:rPr>
          <w:rFonts w:ascii="Arial" w:hAnsi="Arial" w:cs="Arial"/>
          <w:sz w:val="16"/>
          <w:szCs w:val="16"/>
        </w:rPr>
        <w:t>C przez zaznaczenie znakiem "X" odpowiedniego wiersza. Pozostałe dwie części wykreśla się. Część D wypełnia się niezależnie od wyników oceny stanu kontroli zarządczej.</w:t>
      </w:r>
    </w:p>
    <w:p w14:paraId="15193374" w14:textId="77777777" w:rsidR="00A767E8" w:rsidRPr="00CC7D9B" w:rsidRDefault="00A767E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 w:rsidRPr="00CC7D9B">
        <w:rPr>
          <w:rFonts w:ascii="Arial" w:hAnsi="Arial" w:cs="Arial"/>
          <w:sz w:val="16"/>
          <w:szCs w:val="16"/>
          <w:vertAlign w:val="superscript"/>
        </w:rPr>
        <w:t>3)</w:t>
      </w:r>
      <w:r w:rsidRPr="00CC7D9B">
        <w:rPr>
          <w:rFonts w:ascii="Arial" w:hAnsi="Arial" w:cs="Arial"/>
          <w:sz w:val="16"/>
          <w:szCs w:val="16"/>
        </w:rPr>
        <w:tab/>
        <w:t>Część A wypełnia się w przypadku, gdy kontrola zarządcza w wystarczającym stopniu zapewniła łącznie wszystkie następujące elementy: zgodność działalności z przepisami prawa oraz procedurami wewnętrz</w:t>
      </w:r>
      <w:r>
        <w:rPr>
          <w:rFonts w:ascii="Arial" w:hAnsi="Arial" w:cs="Arial"/>
          <w:sz w:val="16"/>
          <w:szCs w:val="16"/>
        </w:rPr>
        <w:t>nymi, skuteczność i efektywność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Pr="00CC7D9B">
        <w:rPr>
          <w:rFonts w:ascii="Arial" w:hAnsi="Arial" w:cs="Arial"/>
          <w:sz w:val="16"/>
          <w:szCs w:val="16"/>
        </w:rPr>
        <w:t>działania, wiarygodność sprawozdań, ochronę zasobów, przestrzeganie i promowanie zasad etycznego postępowania,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Pr="00CC7D9B">
        <w:rPr>
          <w:rFonts w:ascii="Arial" w:hAnsi="Arial" w:cs="Arial"/>
          <w:sz w:val="16"/>
          <w:szCs w:val="16"/>
        </w:rPr>
        <w:t>efektywność i skuteczność przepływu informacji oraz zarządzanie ryzykiem.</w:t>
      </w:r>
    </w:p>
    <w:p w14:paraId="02D7AFBA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4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Część B wypełnia się w przypadku, gdy kontrola zarządcza nie zapewniła w wystarczaj</w:t>
      </w:r>
      <w:r w:rsidR="00A767E8">
        <w:rPr>
          <w:rFonts w:ascii="Arial" w:hAnsi="Arial" w:cs="Arial"/>
          <w:sz w:val="16"/>
          <w:szCs w:val="16"/>
        </w:rPr>
        <w:t>ącym stopniu jednego lub więcej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="00A767E8" w:rsidRPr="00CC7D9B">
        <w:rPr>
          <w:rFonts w:ascii="Arial" w:hAnsi="Arial" w:cs="Arial"/>
          <w:sz w:val="16"/>
          <w:szCs w:val="16"/>
        </w:rPr>
        <w:t>z wymienionych elementów: zgodności działalności z przepisami prawa oraz procedurami wewnętrznymi, skuteczności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="00A767E8" w:rsidRPr="00CC7D9B">
        <w:rPr>
          <w:rFonts w:ascii="Arial" w:hAnsi="Arial" w:cs="Arial"/>
          <w:sz w:val="16"/>
          <w:szCs w:val="16"/>
        </w:rPr>
        <w:t>i efektywności działania, wiarygodności sprawozdań, ochrony zasobów, przestrzegania i promowania zasad etycznego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="00A767E8" w:rsidRPr="00CC7D9B">
        <w:rPr>
          <w:rFonts w:ascii="Arial" w:hAnsi="Arial" w:cs="Arial"/>
          <w:sz w:val="16"/>
          <w:szCs w:val="16"/>
        </w:rPr>
        <w:t>postępowania, efektywności i skuteczności przepływu informacji lub zarządzania ryzykiem, z zastrzeżeniem przypisu 6.</w:t>
      </w:r>
    </w:p>
    <w:p w14:paraId="277D2A18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5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Część C wypełnia się w przypadku, gdy kontrola zarządcza nie zapewniła w wystarczającym stopniu żadnego z wymienionych elementów: zgodności działalności z przepisami prawa oraz procedurami wewnętrzny</w:t>
      </w:r>
      <w:r w:rsidR="00A767E8">
        <w:rPr>
          <w:rFonts w:ascii="Arial" w:hAnsi="Arial" w:cs="Arial"/>
          <w:sz w:val="16"/>
          <w:szCs w:val="16"/>
        </w:rPr>
        <w:t>mi, skuteczności i efektywności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="00A767E8" w:rsidRPr="00CC7D9B">
        <w:rPr>
          <w:rFonts w:ascii="Arial" w:hAnsi="Arial" w:cs="Arial"/>
          <w:sz w:val="16"/>
          <w:szCs w:val="16"/>
        </w:rPr>
        <w:t>działania, wiarygodności sprawozdań, ochrony zasobów, przestrzegania i promowania zasad etycznego postępowania, efektywności i skuteczności przepływu informacji oraz zarządzania ryzykiem.</w:t>
      </w:r>
    </w:p>
    <w:p w14:paraId="07C4A50E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6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Znakiem "X" zaznaczyć odpowiednie wiersze. W przypadku zaznaczenia punktu "innych źródeł informacji" należy je wymienić.</w:t>
      </w:r>
    </w:p>
    <w:p w14:paraId="1DFCB566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7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Standardy kontroli zarządczej dla sektora finansów publicznych ogłoszone przez Ministr</w:t>
      </w:r>
      <w:r w:rsidR="00A767E8">
        <w:rPr>
          <w:rFonts w:ascii="Arial" w:hAnsi="Arial" w:cs="Arial"/>
          <w:sz w:val="16"/>
          <w:szCs w:val="16"/>
        </w:rPr>
        <w:t>a Finansów na podstawie art. 69</w:t>
      </w:r>
      <w:r w:rsidR="00F64948">
        <w:rPr>
          <w:rFonts w:ascii="Arial" w:hAnsi="Arial" w:cs="Arial"/>
          <w:sz w:val="16"/>
          <w:szCs w:val="16"/>
        </w:rPr>
        <w:t xml:space="preserve"> ust. 3 ustawy z </w:t>
      </w:r>
      <w:r w:rsidR="00A767E8" w:rsidRPr="00CC7D9B">
        <w:rPr>
          <w:rFonts w:ascii="Arial" w:hAnsi="Arial" w:cs="Arial"/>
          <w:sz w:val="16"/>
          <w:szCs w:val="16"/>
        </w:rPr>
        <w:t>dnia 27 sierpnia 2009 r. o finansach publicznych.</w:t>
      </w:r>
    </w:p>
    <w:p w14:paraId="02C7BD16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8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Dział II sporządzany jest w przypadku, gdy w dziale I niniejszego oświadczenia zaznaczono część B albo C.</w:t>
      </w:r>
    </w:p>
    <w:p w14:paraId="43AD9CDB" w14:textId="77777777" w:rsidR="00A767E8" w:rsidRPr="00CC7D9B" w:rsidRDefault="000C2308" w:rsidP="00A767E8">
      <w:pPr>
        <w:autoSpaceDE w:val="0"/>
        <w:autoSpaceDN w:val="0"/>
        <w:adjustRightInd w:val="0"/>
        <w:ind w:left="238" w:hanging="23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  <w:vertAlign w:val="superscript"/>
        </w:rPr>
        <w:t>9</w:t>
      </w:r>
      <w:r w:rsidR="00A767E8" w:rsidRPr="00CC7D9B">
        <w:rPr>
          <w:rFonts w:ascii="Arial" w:hAnsi="Arial" w:cs="Arial"/>
          <w:sz w:val="16"/>
          <w:szCs w:val="16"/>
          <w:vertAlign w:val="superscript"/>
        </w:rPr>
        <w:t>)</w:t>
      </w:r>
      <w:r w:rsidR="00A767E8" w:rsidRPr="00CC7D9B">
        <w:rPr>
          <w:rFonts w:ascii="Arial" w:hAnsi="Arial" w:cs="Arial"/>
          <w:sz w:val="16"/>
          <w:szCs w:val="16"/>
        </w:rPr>
        <w:tab/>
        <w:t>Dział III sporządza się w przypadku, gdy w dziale I oświadczenia za rok poprzedzający</w:t>
      </w:r>
      <w:r w:rsidR="00A767E8">
        <w:rPr>
          <w:rFonts w:ascii="Arial" w:hAnsi="Arial" w:cs="Arial"/>
          <w:sz w:val="16"/>
          <w:szCs w:val="16"/>
        </w:rPr>
        <w:t xml:space="preserve"> rok, którego dotyczy niniejsze</w:t>
      </w:r>
      <w:r w:rsidR="00F64948">
        <w:rPr>
          <w:rFonts w:ascii="Arial" w:hAnsi="Arial" w:cs="Arial"/>
          <w:sz w:val="16"/>
          <w:szCs w:val="16"/>
        </w:rPr>
        <w:t xml:space="preserve"> </w:t>
      </w:r>
      <w:r w:rsidR="00A767E8" w:rsidRPr="00CC7D9B">
        <w:rPr>
          <w:rFonts w:ascii="Arial" w:hAnsi="Arial" w:cs="Arial"/>
          <w:sz w:val="16"/>
          <w:szCs w:val="16"/>
        </w:rPr>
        <w:t>oświadczenie, była zaznaczona część B albo C lub gdy w roku, którego dotyczy niniejsze oświadczenie, były podejmowane inne niezaplanowane działania mające na celu poprawę funkcjonowania kontroli zarządczej.</w:t>
      </w:r>
    </w:p>
    <w:sectPr w:rsidR="00A767E8" w:rsidRPr="00CC7D9B" w:rsidSect="005413A2">
      <w:pgSz w:w="12240" w:h="15840"/>
      <w:pgMar w:top="851" w:right="1077" w:bottom="284" w:left="1077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C019D" w14:textId="77777777" w:rsidR="00205208" w:rsidRDefault="00205208" w:rsidP="006C6D5C">
      <w:r>
        <w:separator/>
      </w:r>
    </w:p>
  </w:endnote>
  <w:endnote w:type="continuationSeparator" w:id="0">
    <w:p w14:paraId="5C3DB804" w14:textId="77777777" w:rsidR="00205208" w:rsidRDefault="00205208" w:rsidP="006C6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7494F" w14:textId="77777777" w:rsidR="00205208" w:rsidRDefault="00205208" w:rsidP="006C6D5C">
      <w:r>
        <w:separator/>
      </w:r>
    </w:p>
  </w:footnote>
  <w:footnote w:type="continuationSeparator" w:id="0">
    <w:p w14:paraId="53552EE3" w14:textId="77777777" w:rsidR="00205208" w:rsidRDefault="00205208" w:rsidP="006C6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204A"/>
    <w:multiLevelType w:val="hybridMultilevel"/>
    <w:tmpl w:val="487AFA66"/>
    <w:lvl w:ilvl="0" w:tplc="92F43204">
      <w:start w:val="1"/>
      <w:numFmt w:val="decimal"/>
      <w:lvlText w:val="%1."/>
      <w:lvlJc w:val="left"/>
      <w:pPr>
        <w:ind w:left="780" w:hanging="4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449E7"/>
    <w:multiLevelType w:val="hybridMultilevel"/>
    <w:tmpl w:val="D3DAFA3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173DED"/>
    <w:multiLevelType w:val="hybridMultilevel"/>
    <w:tmpl w:val="7C14743E"/>
    <w:lvl w:ilvl="0" w:tplc="21A03E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47D9F"/>
    <w:multiLevelType w:val="hybridMultilevel"/>
    <w:tmpl w:val="0DA6D5C8"/>
    <w:lvl w:ilvl="0" w:tplc="4E86E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52675"/>
    <w:multiLevelType w:val="hybridMultilevel"/>
    <w:tmpl w:val="19402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F5047A"/>
    <w:multiLevelType w:val="hybridMultilevel"/>
    <w:tmpl w:val="CEAAD432"/>
    <w:lvl w:ilvl="0" w:tplc="04150001">
      <w:start w:val="1"/>
      <w:numFmt w:val="bullet"/>
      <w:lvlText w:val=""/>
      <w:lvlJc w:val="left"/>
      <w:pPr>
        <w:ind w:left="1626" w:hanging="42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86" w:hanging="360"/>
      </w:pPr>
    </w:lvl>
    <w:lvl w:ilvl="2" w:tplc="0415001B" w:tentative="1">
      <w:start w:val="1"/>
      <w:numFmt w:val="lowerRoman"/>
      <w:lvlText w:val="%3."/>
      <w:lvlJc w:val="right"/>
      <w:pPr>
        <w:ind w:left="3006" w:hanging="180"/>
      </w:pPr>
    </w:lvl>
    <w:lvl w:ilvl="3" w:tplc="0415000F" w:tentative="1">
      <w:start w:val="1"/>
      <w:numFmt w:val="decimal"/>
      <w:lvlText w:val="%4."/>
      <w:lvlJc w:val="left"/>
      <w:pPr>
        <w:ind w:left="3726" w:hanging="360"/>
      </w:pPr>
    </w:lvl>
    <w:lvl w:ilvl="4" w:tplc="04150019" w:tentative="1">
      <w:start w:val="1"/>
      <w:numFmt w:val="lowerLetter"/>
      <w:lvlText w:val="%5."/>
      <w:lvlJc w:val="left"/>
      <w:pPr>
        <w:ind w:left="4446" w:hanging="360"/>
      </w:pPr>
    </w:lvl>
    <w:lvl w:ilvl="5" w:tplc="0415001B" w:tentative="1">
      <w:start w:val="1"/>
      <w:numFmt w:val="lowerRoman"/>
      <w:lvlText w:val="%6."/>
      <w:lvlJc w:val="right"/>
      <w:pPr>
        <w:ind w:left="5166" w:hanging="180"/>
      </w:pPr>
    </w:lvl>
    <w:lvl w:ilvl="6" w:tplc="0415000F" w:tentative="1">
      <w:start w:val="1"/>
      <w:numFmt w:val="decimal"/>
      <w:lvlText w:val="%7."/>
      <w:lvlJc w:val="left"/>
      <w:pPr>
        <w:ind w:left="5886" w:hanging="360"/>
      </w:pPr>
    </w:lvl>
    <w:lvl w:ilvl="7" w:tplc="04150019" w:tentative="1">
      <w:start w:val="1"/>
      <w:numFmt w:val="lowerLetter"/>
      <w:lvlText w:val="%8."/>
      <w:lvlJc w:val="left"/>
      <w:pPr>
        <w:ind w:left="6606" w:hanging="360"/>
      </w:pPr>
    </w:lvl>
    <w:lvl w:ilvl="8" w:tplc="0415001B" w:tentative="1">
      <w:start w:val="1"/>
      <w:numFmt w:val="lowerRoman"/>
      <w:lvlText w:val="%9."/>
      <w:lvlJc w:val="right"/>
      <w:pPr>
        <w:ind w:left="7326" w:hanging="180"/>
      </w:pPr>
    </w:lvl>
  </w:abstractNum>
  <w:abstractNum w:abstractNumId="6" w15:restartNumberingAfterBreak="0">
    <w:nsid w:val="64485D2C"/>
    <w:multiLevelType w:val="hybridMultilevel"/>
    <w:tmpl w:val="241E1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F291F"/>
    <w:multiLevelType w:val="hybridMultilevel"/>
    <w:tmpl w:val="A56CB6A8"/>
    <w:lvl w:ilvl="0" w:tplc="3DB4B744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035E3"/>
    <w:rsid w:val="000445BD"/>
    <w:rsid w:val="00052FC8"/>
    <w:rsid w:val="000B09DA"/>
    <w:rsid w:val="000B2421"/>
    <w:rsid w:val="000C2308"/>
    <w:rsid w:val="000F1E92"/>
    <w:rsid w:val="00100055"/>
    <w:rsid w:val="00103D51"/>
    <w:rsid w:val="00114245"/>
    <w:rsid w:val="001571BF"/>
    <w:rsid w:val="0016089B"/>
    <w:rsid w:val="00186ECF"/>
    <w:rsid w:val="00191439"/>
    <w:rsid w:val="001973B5"/>
    <w:rsid w:val="001A1F6D"/>
    <w:rsid w:val="001B671C"/>
    <w:rsid w:val="001C3AAA"/>
    <w:rsid w:val="001C71BD"/>
    <w:rsid w:val="001D34CE"/>
    <w:rsid w:val="001F4CDF"/>
    <w:rsid w:val="00204460"/>
    <w:rsid w:val="00205208"/>
    <w:rsid w:val="00232EA7"/>
    <w:rsid w:val="00241BCD"/>
    <w:rsid w:val="00266621"/>
    <w:rsid w:val="002B73B4"/>
    <w:rsid w:val="002B7842"/>
    <w:rsid w:val="002C2984"/>
    <w:rsid w:val="002C699B"/>
    <w:rsid w:val="002D3C3B"/>
    <w:rsid w:val="002D5986"/>
    <w:rsid w:val="002F28C0"/>
    <w:rsid w:val="0031246C"/>
    <w:rsid w:val="003574C8"/>
    <w:rsid w:val="00366002"/>
    <w:rsid w:val="003A4D02"/>
    <w:rsid w:val="003C21AD"/>
    <w:rsid w:val="00436745"/>
    <w:rsid w:val="004701A7"/>
    <w:rsid w:val="00472932"/>
    <w:rsid w:val="00480AD0"/>
    <w:rsid w:val="00485F51"/>
    <w:rsid w:val="004A3F90"/>
    <w:rsid w:val="00507FF4"/>
    <w:rsid w:val="005209F9"/>
    <w:rsid w:val="00527645"/>
    <w:rsid w:val="0053602B"/>
    <w:rsid w:val="005413A2"/>
    <w:rsid w:val="00547255"/>
    <w:rsid w:val="00557AED"/>
    <w:rsid w:val="0057274C"/>
    <w:rsid w:val="005B082B"/>
    <w:rsid w:val="005C31FA"/>
    <w:rsid w:val="005D393D"/>
    <w:rsid w:val="005E32E8"/>
    <w:rsid w:val="005E3E16"/>
    <w:rsid w:val="00610033"/>
    <w:rsid w:val="00612B24"/>
    <w:rsid w:val="00615798"/>
    <w:rsid w:val="00623A63"/>
    <w:rsid w:val="00630A6D"/>
    <w:rsid w:val="0064028C"/>
    <w:rsid w:val="006435E5"/>
    <w:rsid w:val="00654697"/>
    <w:rsid w:val="00682ABC"/>
    <w:rsid w:val="006927D2"/>
    <w:rsid w:val="00697938"/>
    <w:rsid w:val="006A33B4"/>
    <w:rsid w:val="006A4BC8"/>
    <w:rsid w:val="006B39C5"/>
    <w:rsid w:val="006C6D5C"/>
    <w:rsid w:val="006D3062"/>
    <w:rsid w:val="006E71D4"/>
    <w:rsid w:val="006F03D9"/>
    <w:rsid w:val="006F5EE7"/>
    <w:rsid w:val="00721BD5"/>
    <w:rsid w:val="00727B32"/>
    <w:rsid w:val="00736B32"/>
    <w:rsid w:val="00750BDA"/>
    <w:rsid w:val="00775C3C"/>
    <w:rsid w:val="007777D5"/>
    <w:rsid w:val="00782C3D"/>
    <w:rsid w:val="00784AA5"/>
    <w:rsid w:val="007B30A1"/>
    <w:rsid w:val="007E20C7"/>
    <w:rsid w:val="007F4C15"/>
    <w:rsid w:val="007F4F15"/>
    <w:rsid w:val="007F6C49"/>
    <w:rsid w:val="008053EE"/>
    <w:rsid w:val="00810863"/>
    <w:rsid w:val="008147C4"/>
    <w:rsid w:val="00822C37"/>
    <w:rsid w:val="00842B12"/>
    <w:rsid w:val="00863828"/>
    <w:rsid w:val="008A607E"/>
    <w:rsid w:val="008C4333"/>
    <w:rsid w:val="008E10E3"/>
    <w:rsid w:val="008F0791"/>
    <w:rsid w:val="009007EB"/>
    <w:rsid w:val="00906E89"/>
    <w:rsid w:val="00920A89"/>
    <w:rsid w:val="00933C80"/>
    <w:rsid w:val="00934D2D"/>
    <w:rsid w:val="0098528C"/>
    <w:rsid w:val="009A2912"/>
    <w:rsid w:val="009A2E16"/>
    <w:rsid w:val="009B192D"/>
    <w:rsid w:val="009B5081"/>
    <w:rsid w:val="009C60F7"/>
    <w:rsid w:val="009E109D"/>
    <w:rsid w:val="009F11D1"/>
    <w:rsid w:val="009F2C31"/>
    <w:rsid w:val="00A05EDD"/>
    <w:rsid w:val="00A07DB0"/>
    <w:rsid w:val="00A20E9E"/>
    <w:rsid w:val="00A25F8A"/>
    <w:rsid w:val="00A60495"/>
    <w:rsid w:val="00A767E8"/>
    <w:rsid w:val="00A81F4E"/>
    <w:rsid w:val="00A84FC3"/>
    <w:rsid w:val="00A867E9"/>
    <w:rsid w:val="00A87957"/>
    <w:rsid w:val="00AD3ACD"/>
    <w:rsid w:val="00AE2FED"/>
    <w:rsid w:val="00B30F70"/>
    <w:rsid w:val="00B42963"/>
    <w:rsid w:val="00B523C7"/>
    <w:rsid w:val="00B650CB"/>
    <w:rsid w:val="00B75F15"/>
    <w:rsid w:val="00B807CF"/>
    <w:rsid w:val="00B934A6"/>
    <w:rsid w:val="00B953B2"/>
    <w:rsid w:val="00BA2AE6"/>
    <w:rsid w:val="00BB2105"/>
    <w:rsid w:val="00BD7F0B"/>
    <w:rsid w:val="00BF2682"/>
    <w:rsid w:val="00C129EA"/>
    <w:rsid w:val="00C24499"/>
    <w:rsid w:val="00C2594E"/>
    <w:rsid w:val="00C30209"/>
    <w:rsid w:val="00C420B2"/>
    <w:rsid w:val="00C51984"/>
    <w:rsid w:val="00C6007D"/>
    <w:rsid w:val="00C63690"/>
    <w:rsid w:val="00C703DC"/>
    <w:rsid w:val="00CB6C59"/>
    <w:rsid w:val="00CC6912"/>
    <w:rsid w:val="00CC7D9B"/>
    <w:rsid w:val="00CE6F48"/>
    <w:rsid w:val="00D07118"/>
    <w:rsid w:val="00D4350F"/>
    <w:rsid w:val="00D47510"/>
    <w:rsid w:val="00D60B05"/>
    <w:rsid w:val="00D73BE1"/>
    <w:rsid w:val="00DA6587"/>
    <w:rsid w:val="00DA66BE"/>
    <w:rsid w:val="00DD2DC9"/>
    <w:rsid w:val="00DE4C79"/>
    <w:rsid w:val="00DE6C5E"/>
    <w:rsid w:val="00DE75C8"/>
    <w:rsid w:val="00E025D3"/>
    <w:rsid w:val="00E04BAD"/>
    <w:rsid w:val="00E23218"/>
    <w:rsid w:val="00E646E4"/>
    <w:rsid w:val="00E82124"/>
    <w:rsid w:val="00E913CE"/>
    <w:rsid w:val="00EB262C"/>
    <w:rsid w:val="00EB6460"/>
    <w:rsid w:val="00EB790D"/>
    <w:rsid w:val="00ED6453"/>
    <w:rsid w:val="00EF6147"/>
    <w:rsid w:val="00F537B5"/>
    <w:rsid w:val="00F64948"/>
    <w:rsid w:val="00F74C73"/>
    <w:rsid w:val="00F80C6A"/>
    <w:rsid w:val="00F86A92"/>
    <w:rsid w:val="00FB77FB"/>
    <w:rsid w:val="00FC1D14"/>
    <w:rsid w:val="00FC7260"/>
    <w:rsid w:val="00FD0A60"/>
    <w:rsid w:val="00FD32F7"/>
    <w:rsid w:val="00FD559F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DD96130"/>
  <w14:defaultImageDpi w14:val="0"/>
  <w15:docId w15:val="{224384CA-3F05-497E-B161-6922617D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73B5"/>
    <w:rPr>
      <w:sz w:val="24"/>
      <w:szCs w:val="24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E71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6E7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5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C8EAFB13D6264EA3047B84005766DA" ma:contentTypeVersion="" ma:contentTypeDescription="Utwórz nowy dokument." ma:contentTypeScope="" ma:versionID="e468c3c3054af7730ef607b944f1f75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DDC463-A2B8-418B-9A4E-DF5804FCDE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525ED5-2BEA-44A4-B28A-BFCDEB36288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A5EBDE-7BE0-4887-9EC2-842353BD4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53B9FD6-19E3-438A-B677-A60351C00EB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1596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stanie kontroli zarządczej</vt:lpstr>
    </vt:vector>
  </TitlesOfParts>
  <Company>Wolters Kluwer Polska Sp z o.o.</Company>
  <LinksUpToDate>false</LinksUpToDate>
  <CharactersWithSpaces>11156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stanie kontroli zarządczej</dc:title>
  <dc:subject/>
  <dc:creator>Dominik_Krus</dc:creator>
  <cp:keywords/>
  <dc:description>ZNAKI:0</dc:description>
  <cp:lastModifiedBy>Orzech Elżbieta</cp:lastModifiedBy>
  <cp:revision>2</cp:revision>
  <cp:lastPrinted>2026-02-12T11:47:00Z</cp:lastPrinted>
  <dcterms:created xsi:type="dcterms:W3CDTF">2026-02-17T13:22:00Z</dcterms:created>
  <dcterms:modified xsi:type="dcterms:W3CDTF">2026-02-17T13:22:00Z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I:">
    <vt:lpwstr>0</vt:lpwstr>
  </property>
  <property fmtid="{D5CDD505-2E9C-101B-9397-08002B2CF9AE}" pid="3" name="BiledOleWorkflow">
    <vt:lpwstr>Leo</vt:lpwstr>
  </property>
  <property fmtid="{D5CDD505-2E9C-101B-9397-08002B2CF9AE}" pid="4" name="ContentTypeId">
    <vt:lpwstr>0x010100FC71BAFAF9B91D4A85BB4287E0BB7317</vt:lpwstr>
  </property>
  <property fmtid="{D5CDD505-2E9C-101B-9397-08002B2CF9AE}" pid="5" name="MFCATEGORY">
    <vt:lpwstr>InformacjePrzeznaczoneWylacznieDoUzytkuWewnetrznego</vt:lpwstr>
  </property>
  <property fmtid="{D5CDD505-2E9C-101B-9397-08002B2CF9AE}" pid="6" name="MFClassifiedBy">
    <vt:lpwstr>UxC4dwLulzfINJ8nQH+xvX5LNGipWa4BRSZhPgxsCvkomCLGyng/nj/+ci0FXT9q/Sd9TYaRfyoANoTJneLPlA==</vt:lpwstr>
  </property>
  <property fmtid="{D5CDD505-2E9C-101B-9397-08002B2CF9AE}" pid="7" name="MFClassificationDate">
    <vt:lpwstr>2022-01-18T11:43:56.9985473+01:00</vt:lpwstr>
  </property>
  <property fmtid="{D5CDD505-2E9C-101B-9397-08002B2CF9AE}" pid="8" name="MFClassifiedBySID">
    <vt:lpwstr>UxC4dwLulzfINJ8nQH+xvX5LNGipWa4BRSZhPgxsCvm42mrIC/DSDv0ggS+FjUN/2v1BBotkLlY5aAiEhoi6uTxBlECh2NWnCYVE2JoROSZWLY0Ei4G97sezNuZO3gYD</vt:lpwstr>
  </property>
  <property fmtid="{D5CDD505-2E9C-101B-9397-08002B2CF9AE}" pid="9" name="MFGRNItemId">
    <vt:lpwstr>GRN-653d8ab0-ecc5-485d-8a6c-71ac1047c609</vt:lpwstr>
  </property>
  <property fmtid="{D5CDD505-2E9C-101B-9397-08002B2CF9AE}" pid="10" name="MFHash">
    <vt:lpwstr>VY5K21TlExN1bLz740T7H3qX85ioZYlAy+RuCVAzD98=</vt:lpwstr>
  </property>
  <property fmtid="{D5CDD505-2E9C-101B-9397-08002B2CF9AE}" pid="11" name="MFVisualMarkingsSettings">
    <vt:lpwstr>HeaderAlignment=1;FooterAlignment=1</vt:lpwstr>
  </property>
  <property fmtid="{D5CDD505-2E9C-101B-9397-08002B2CF9AE}" pid="12" name="DLPManualFileClassification">
    <vt:lpwstr>{5fdfc941-3fcf-4a5b-87be-4848800d39d0}</vt:lpwstr>
  </property>
  <property fmtid="{D5CDD505-2E9C-101B-9397-08002B2CF9AE}" pid="13" name="MFRefresh">
    <vt:lpwstr>False</vt:lpwstr>
  </property>
</Properties>
</file>