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C7C" w:rsidRDefault="0093495E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 xml:space="preserve">NACZELNIK </w:t>
      </w:r>
    </w:p>
    <w:p w:rsidR="00964C7C" w:rsidRDefault="0093495E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pierwszego URZĘDU SKARBOWEGO</w:t>
      </w:r>
    </w:p>
    <w:p w:rsidR="00964C7C" w:rsidRDefault="0093495E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81280" distB="0" distL="198120" distR="0" simplePos="0" relativeHeight="8" behindDoc="0" locked="0" layoutInCell="0" allowOverlap="0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71895" cy="635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DED9F" id="Łącznik prosty 2" o:spid="_x0000_s1026" alt="linia rozdzielająca" style="position:absolute;z-index:8;visibility:visible;mso-wrap-style:square;mso-wrap-distance-left:15.6pt;mso-wrap-distance-top:6.4pt;mso-wrap-distance-right:0;mso-wrap-distance-bottom:0;mso-position-horizontal:absolute;mso-position-horizontal-relative:text;mso-position-vertical:absolute;mso-position-vertical-relative:text" from="0,28.35pt" to="493.8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cstheme="minorHAnsi"/>
          <w:b/>
          <w:caps/>
          <w:sz w:val="28"/>
          <w:szCs w:val="28"/>
        </w:rPr>
        <w:t xml:space="preserve">W gdyni </w:t>
      </w:r>
    </w:p>
    <w:p w:rsidR="00964C7C" w:rsidRDefault="0093495E">
      <w:pPr>
        <w:spacing w:before="120" w:after="0" w:line="240" w:lineRule="auto"/>
        <w:contextualSpacing/>
        <w:jc w:val="right"/>
      </w:pPr>
      <w:r>
        <w:rPr>
          <w:sz w:val="24"/>
          <w:szCs w:val="24"/>
        </w:rPr>
        <w:t xml:space="preserve">Gdynia, </w:t>
      </w:r>
      <w:r>
        <w:rPr>
          <w:rFonts w:eastAsia="Calibri"/>
          <w:sz w:val="24"/>
          <w:szCs w:val="24"/>
        </w:rPr>
        <w:t xml:space="preserve">5 grudnia </w:t>
      </w:r>
      <w:r>
        <w:rPr>
          <w:sz w:val="24"/>
          <w:szCs w:val="24"/>
        </w:rPr>
        <w:t>2025 roku</w:t>
      </w:r>
    </w:p>
    <w:p w:rsidR="00964C7C" w:rsidRDefault="0093495E">
      <w:pPr>
        <w:spacing w:before="120" w:after="0" w:line="240" w:lineRule="auto"/>
        <w:contextualSpacing/>
        <w:rPr>
          <w:rFonts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>DOCPROPERTY "KodKreskowy"</w:instrText>
      </w:r>
      <w:r>
        <w:rPr>
          <w:rFonts w:cs="Calibri"/>
          <w:lang w:eastAsia="pl-PL"/>
        </w:rPr>
        <w:fldChar w:fldCharType="end"/>
      </w:r>
    </w:p>
    <w:p w:rsidR="00964C7C" w:rsidRDefault="0093495E">
      <w:pPr>
        <w:pStyle w:val="Nagwek2"/>
        <w:spacing w:before="360"/>
        <w:contextualSpacing/>
        <w:jc w:val="center"/>
        <w:rPr>
          <w:rFonts w:ascii="Calibri" w:hAnsi="Calibri" w:cs="Calibri"/>
          <w:color w:val="FF0000"/>
          <w:szCs w:val="32"/>
        </w:rPr>
      </w:pPr>
      <w:r>
        <w:rPr>
          <w:rFonts w:cs="Calibri"/>
          <w:color w:val="FF0000"/>
          <w:szCs w:val="32"/>
        </w:rPr>
        <w:t>OBWIESZCZENIE O DRUGIEJ LICYTACJI RUCHOMOŚCI</w:t>
      </w:r>
    </w:p>
    <w:p w:rsidR="00964C7C" w:rsidRDefault="0093495E">
      <w:pPr>
        <w:pStyle w:val="TekstpismaKAS"/>
        <w:rPr>
          <w:rFonts w:ascii="Calibri" w:hAnsi="Calibri"/>
        </w:rPr>
      </w:pPr>
      <w:r>
        <w:t>Szanowni Państwo,</w:t>
      </w:r>
    </w:p>
    <w:p w:rsidR="00964C7C" w:rsidRDefault="0093495E">
      <w:pPr>
        <w:pStyle w:val="TekstpismaKAS"/>
        <w:jc w:val="both"/>
      </w:pPr>
      <w:r>
        <w:rPr>
          <w:bCs/>
        </w:rPr>
        <w:t xml:space="preserve">informuję o sprzedaży w drodze licytacji publicznej ruchomości należącej do Pana </w:t>
      </w:r>
      <w:r>
        <w:rPr>
          <w:bCs/>
        </w:rPr>
        <w:t>Jakuba Gościckiego</w:t>
      </w:r>
    </w:p>
    <w:p w:rsidR="00964C7C" w:rsidRDefault="00964C7C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964C7C" w:rsidRDefault="0093495E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>
        <w:rPr>
          <w:rStyle w:val="Nagwek2Znak"/>
          <w:rFonts w:cstheme="minorHAnsi"/>
          <w:bCs/>
          <w:color w:val="FF0000"/>
        </w:rPr>
        <w:t>Termin</w:t>
      </w:r>
      <w:r>
        <w:rPr>
          <w:rStyle w:val="Nagwek1Znak"/>
          <w:rFonts w:cstheme="minorHAnsi"/>
          <w:bCs/>
          <w:color w:val="000000"/>
        </w:rPr>
        <w:tab/>
        <w:t xml:space="preserve"> </w:t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>30 grudnia 2025 roku, godz. 11:00</w:t>
      </w:r>
    </w:p>
    <w:p w:rsidR="00964C7C" w:rsidRDefault="00964C7C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964C7C" w:rsidRDefault="0093495E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>
        <w:rPr>
          <w:rStyle w:val="Nagwek1Znak"/>
          <w:rFonts w:cstheme="minorHAnsi"/>
          <w:bCs/>
          <w:color w:val="FF0000"/>
          <w:sz w:val="28"/>
          <w:szCs w:val="28"/>
        </w:rPr>
        <w:t>Miejsce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  <w:t xml:space="preserve">siedziba Pierwszego Urzędu Skarbowego w Gdyni,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 xml:space="preserve">ul. Władysława IV 2/4, 81-353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  <w:t xml:space="preserve">Gdynia </w:t>
      </w:r>
    </w:p>
    <w:p w:rsidR="00964C7C" w:rsidRDefault="0093495E">
      <w:pPr>
        <w:pStyle w:val="Nagwek2"/>
        <w:spacing w:line="240" w:lineRule="auto"/>
        <w:jc w:val="both"/>
        <w:rPr>
          <w:rFonts w:ascii="Calibri" w:eastAsia="Lato" w:hAnsi="Calibri" w:cstheme="minorHAnsi"/>
          <w:bCs/>
          <w:color w:val="FF0000"/>
          <w:szCs w:val="28"/>
        </w:rPr>
      </w:pPr>
      <w:r>
        <w:rPr>
          <w:rFonts w:eastAsia="Lato" w:cstheme="minorHAnsi"/>
          <w:bCs/>
          <w:color w:val="000000" w:themeColor="text1"/>
          <w:szCs w:val="28"/>
        </w:rPr>
        <w:t>Sprzedawana ruchomość</w:t>
      </w:r>
    </w:p>
    <w:tbl>
      <w:tblPr>
        <w:tblpPr w:leftFromText="141" w:rightFromText="141" w:vertAnchor="text" w:horzAnchor="margin" w:tblpY="365"/>
        <w:tblW w:w="9913" w:type="dxa"/>
        <w:tblLayout w:type="fixed"/>
        <w:tblLook w:val="04A0" w:firstRow="1" w:lastRow="0" w:firstColumn="1" w:lastColumn="0" w:noHBand="0" w:noVBand="1"/>
      </w:tblPr>
      <w:tblGrid>
        <w:gridCol w:w="570"/>
        <w:gridCol w:w="3000"/>
        <w:gridCol w:w="1365"/>
        <w:gridCol w:w="1186"/>
        <w:gridCol w:w="1250"/>
        <w:gridCol w:w="2542"/>
      </w:tblGrid>
      <w:tr w:rsidR="00964C7C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7C" w:rsidRDefault="0093495E">
            <w:pPr>
              <w:pStyle w:val="TekstpismaKA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7C" w:rsidRDefault="0093495E">
            <w:pPr>
              <w:pStyle w:val="TekstpismaKA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Określenie ruchomości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7C" w:rsidRDefault="0093495E">
            <w:pPr>
              <w:pStyle w:val="TekstpismaKA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Wartość szacunkowa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C7C" w:rsidRDefault="0093495E">
            <w:pPr>
              <w:pStyle w:val="TekstpismaKA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Cena wywołania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7C" w:rsidRDefault="0093495E">
            <w:pPr>
              <w:pStyle w:val="TekstpismaKA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Wadium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C7C" w:rsidRDefault="0093495E">
            <w:pPr>
              <w:pStyle w:val="TekstpismaKAS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Uwagi</w:t>
            </w:r>
          </w:p>
        </w:tc>
      </w:tr>
      <w:tr w:rsidR="00964C7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7C" w:rsidRDefault="0093495E">
            <w:pPr>
              <w:pStyle w:val="Standard"/>
              <w:widowControl w:val="0"/>
              <w:spacing w:before="240" w:line="240" w:lineRule="auto"/>
              <w:rPr>
                <w:rFonts w:cs="Calibr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7C" w:rsidRDefault="0093495E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Samochód ciężarowy Renault Master Skrzynia</w:t>
            </w:r>
          </w:p>
          <w:p w:rsidR="00964C7C" w:rsidRDefault="0093495E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rok produkcji: 2007</w:t>
            </w:r>
          </w:p>
          <w:p w:rsidR="00964C7C" w:rsidRDefault="0093495E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pojemność silnika: 2464,00 cm 3</w:t>
            </w:r>
          </w:p>
          <w:p w:rsidR="00964C7C" w:rsidRDefault="0093495E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moc silnika: 88</w:t>
            </w:r>
          </w:p>
          <w:p w:rsidR="00964C7C" w:rsidRDefault="0093495E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rodzaj paliwa: diesel</w:t>
            </w:r>
          </w:p>
          <w:p w:rsidR="00964C7C" w:rsidRDefault="0093495E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liczba miejsc: 7</w:t>
            </w:r>
          </w:p>
          <w:p w:rsidR="00964C7C" w:rsidRDefault="0093495E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nr VIN: VF1HDC1K638188309</w:t>
            </w:r>
          </w:p>
          <w:p w:rsidR="00964C7C" w:rsidRDefault="00964C7C">
            <w:pPr>
              <w:pStyle w:val="Zawartotabeli"/>
              <w:widowControl w:val="0"/>
              <w:suppressAutoHyphens w:val="0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7C" w:rsidRDefault="00964C7C">
            <w:pPr>
              <w:pStyle w:val="Standard"/>
              <w:widowControl w:val="0"/>
              <w:spacing w:before="240" w:line="240" w:lineRule="auto"/>
              <w:rPr>
                <w:rFonts w:cstheme="minorHAnsi"/>
              </w:rPr>
            </w:pPr>
          </w:p>
          <w:p w:rsidR="00964C7C" w:rsidRDefault="0093495E">
            <w:pPr>
              <w:pStyle w:val="Standard"/>
              <w:widowControl w:val="0"/>
              <w:spacing w:before="240" w:line="240" w:lineRule="auto"/>
              <w:rPr>
                <w:rFonts w:cs="Calibri"/>
                <w:bCs/>
              </w:rPr>
            </w:pPr>
            <w:r>
              <w:rPr>
                <w:rFonts w:eastAsia="Calibri" w:cstheme="minorHAnsi"/>
                <w:bCs/>
              </w:rPr>
              <w:t>17 800</w:t>
            </w:r>
            <w:r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C7C" w:rsidRDefault="00964C7C">
            <w:pPr>
              <w:pStyle w:val="Tekstpodstawowy"/>
              <w:rPr>
                <w:rFonts w:ascii="Calibri" w:hAnsi="Calibri"/>
                <w:sz w:val="22"/>
              </w:rPr>
            </w:pPr>
          </w:p>
          <w:p w:rsidR="00964C7C" w:rsidRDefault="00964C7C">
            <w:pPr>
              <w:pStyle w:val="Tekstpodstawowy"/>
              <w:rPr>
                <w:rFonts w:ascii="Calibri" w:hAnsi="Calibri"/>
                <w:sz w:val="22"/>
              </w:rPr>
            </w:pPr>
          </w:p>
          <w:p w:rsidR="00964C7C" w:rsidRDefault="0093495E">
            <w:pPr>
              <w:pStyle w:val="Tekstpodstawowy"/>
              <w:rPr>
                <w:sz w:val="22"/>
              </w:rPr>
            </w:pPr>
            <w:r>
              <w:rPr>
                <w:sz w:val="22"/>
              </w:rPr>
              <w:t>8 900</w:t>
            </w:r>
            <w:r>
              <w:rPr>
                <w:sz w:val="22"/>
              </w:rPr>
              <w:t xml:space="preserve"> zł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7C" w:rsidRDefault="00964C7C">
            <w:pPr>
              <w:pStyle w:val="Tekstpodstawowy"/>
              <w:rPr>
                <w:rFonts w:ascii="Calibri" w:hAnsi="Calibri"/>
                <w:sz w:val="22"/>
              </w:rPr>
            </w:pPr>
          </w:p>
          <w:p w:rsidR="00964C7C" w:rsidRDefault="00964C7C">
            <w:pPr>
              <w:pStyle w:val="Tekstpodstawowy"/>
              <w:rPr>
                <w:rFonts w:ascii="Calibri" w:hAnsi="Calibri"/>
                <w:sz w:val="22"/>
              </w:rPr>
            </w:pPr>
          </w:p>
          <w:p w:rsidR="00964C7C" w:rsidRDefault="0093495E">
            <w:pPr>
              <w:pStyle w:val="Tekstpodstawowy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1  780 zł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7C" w:rsidRDefault="0093495E">
            <w:pPr>
              <w:pStyle w:val="Tekstpodstawowy"/>
              <w:spacing w:line="276" w:lineRule="auto"/>
              <w:rPr>
                <w:rFonts w:ascii="Calibri" w:hAnsi="Calibri"/>
                <w:sz w:val="22"/>
              </w:rPr>
            </w:pPr>
            <w:r>
              <w:rPr>
                <w:color w:val="000000"/>
                <w:sz w:val="22"/>
              </w:rPr>
              <w:t xml:space="preserve">brak aktualnego </w:t>
            </w:r>
            <w:r>
              <w:rPr>
                <w:color w:val="000000"/>
                <w:sz w:val="22"/>
              </w:rPr>
              <w:t>przeglądu technicznego (ostatnie wykonane badanie było ważne do 12.01.2024 r.),</w:t>
            </w:r>
          </w:p>
          <w:p w:rsidR="00964C7C" w:rsidRDefault="0093495E">
            <w:pPr>
              <w:pStyle w:val="Tekstpodstawowy"/>
              <w:spacing w:line="276" w:lineRule="auto"/>
              <w:rPr>
                <w:rFonts w:ascii="Calibri" w:hAnsi="Calibri"/>
                <w:sz w:val="22"/>
              </w:rPr>
            </w:pPr>
            <w:r>
              <w:rPr>
                <w:color w:val="000000"/>
                <w:sz w:val="22"/>
              </w:rPr>
              <w:t>wgniecenie na masce oraz korozja karoserii,</w:t>
            </w:r>
          </w:p>
          <w:p w:rsidR="00964C7C" w:rsidRDefault="0093495E">
            <w:pPr>
              <w:pStyle w:val="Tekstpodstawowy"/>
              <w:spacing w:line="276" w:lineRule="auto"/>
              <w:rPr>
                <w:rFonts w:ascii="Calibri" w:hAnsi="Calibri"/>
                <w:sz w:val="22"/>
              </w:rPr>
            </w:pPr>
            <w:r>
              <w:rPr>
                <w:color w:val="000000"/>
                <w:sz w:val="22"/>
              </w:rPr>
              <w:t>rozładowany akumulator,</w:t>
            </w:r>
          </w:p>
        </w:tc>
      </w:tr>
    </w:tbl>
    <w:p w:rsidR="00964C7C" w:rsidRDefault="00964C7C">
      <w:pPr>
        <w:rPr>
          <w:rStyle w:val="Nagwek2Znak"/>
          <w:rFonts w:ascii="Calibri-Bold" w:eastAsia="Lato" w:hAnsi="Calibri-Bold" w:cstheme="minorHAnsi"/>
          <w:bCs/>
          <w:color w:val="FF0000"/>
          <w:szCs w:val="28"/>
        </w:rPr>
      </w:pPr>
    </w:p>
    <w:p w:rsidR="00964C7C" w:rsidRDefault="0093495E">
      <w:r>
        <w:rPr>
          <w:rStyle w:val="Nagwek2Znak"/>
          <w:rFonts w:ascii="Calibri-Bold" w:eastAsia="Lato" w:hAnsi="Calibri-Bold" w:cs="Calibri"/>
          <w:bCs/>
          <w:color w:val="FF0000"/>
          <w:szCs w:val="28"/>
        </w:rPr>
        <w:t>Termin i miejsce ogl</w:t>
      </w:r>
      <w:r>
        <w:rPr>
          <w:rFonts w:ascii="Calibri-Bold" w:hAnsi="Calibri-Bold"/>
          <w:b/>
          <w:color w:val="FF0000"/>
          <w:sz w:val="28"/>
        </w:rPr>
        <w:t>ądania ruchomości</w:t>
      </w:r>
    </w:p>
    <w:p w:rsidR="00964C7C" w:rsidRDefault="0093495E">
      <w:r>
        <w:rPr>
          <w:color w:val="000000"/>
          <w:sz w:val="24"/>
        </w:rPr>
        <w:t>Ruchomość można oglądać 22 grudnia 2025 roku od godz. 10:00 do godz.</w:t>
      </w:r>
      <w:r>
        <w:rPr>
          <w:color w:val="000000"/>
          <w:sz w:val="24"/>
        </w:rPr>
        <w:t xml:space="preserve"> 10:30 pod adresem ul.</w:t>
      </w:r>
    </w:p>
    <w:p w:rsidR="00964C7C" w:rsidRDefault="0093495E">
      <w:pPr>
        <w:rPr>
          <w:rStyle w:val="Nagwek2Znak"/>
          <w:rFonts w:eastAsia="Lato" w:cstheme="minorHAnsi"/>
          <w:bCs/>
          <w:color w:val="FF0000"/>
          <w:szCs w:val="28"/>
        </w:rPr>
      </w:pPr>
      <w:r>
        <w:rPr>
          <w:color w:val="000000"/>
          <w:sz w:val="24"/>
        </w:rPr>
        <w:t xml:space="preserve">Opłotki 1, 80-730 Gdańsk – </w:t>
      </w:r>
      <w:r>
        <w:rPr>
          <w:rFonts w:ascii="Calibri-Bold" w:hAnsi="Calibri-Bold"/>
          <w:b/>
          <w:color w:val="000000"/>
          <w:sz w:val="24"/>
        </w:rPr>
        <w:t>wyłącznie po uprzednim potwierdzeniu telefonicznym.</w:t>
      </w:r>
    </w:p>
    <w:p w:rsidR="00964C7C" w:rsidRDefault="0093495E">
      <w:pPr>
        <w:pStyle w:val="rdtytuKAS"/>
      </w:pPr>
      <w:r>
        <w:rPr>
          <w:rStyle w:val="Nagwek2Znak"/>
          <w:rFonts w:eastAsia="Lato" w:cstheme="minorHAnsi"/>
          <w:b/>
          <w:bCs/>
          <w:color w:val="FF0000"/>
          <w:szCs w:val="28"/>
        </w:rPr>
        <w:t>Wadium</w:t>
      </w:r>
      <w:r>
        <w:rPr>
          <w:rStyle w:val="Nagwek2Znak"/>
          <w:rFonts w:cstheme="minorHAnsi"/>
          <w:b/>
          <w:color w:val="FF0000"/>
          <w:sz w:val="24"/>
        </w:rPr>
        <w:t xml:space="preserve"> </w:t>
      </w:r>
    </w:p>
    <w:p w:rsidR="00964C7C" w:rsidRDefault="0093495E">
      <w:pPr>
        <w:pStyle w:val="Tekstpodstawowy"/>
        <w:spacing w:line="276" w:lineRule="auto"/>
      </w:pPr>
      <w:r>
        <w:rPr>
          <w:rStyle w:val="Nagwek2Znak"/>
          <w:rFonts w:cs="Calibri"/>
          <w:b w:val="0"/>
          <w:color w:val="000000"/>
          <w:sz w:val="24"/>
          <w:szCs w:val="24"/>
        </w:rPr>
        <w:t>Warunkiem przyst</w:t>
      </w:r>
      <w:r>
        <w:t>ąpienia do licytacji ruchomości jest wpłata wadium.</w:t>
      </w:r>
    </w:p>
    <w:p w:rsidR="00964C7C" w:rsidRDefault="0093495E">
      <w:pPr>
        <w:pStyle w:val="Tekstpodstawowy"/>
        <w:spacing w:line="276" w:lineRule="auto"/>
        <w:jc w:val="both"/>
      </w:pPr>
      <w:r>
        <w:t xml:space="preserve">W przypadku przystąpienia do licytacji ruchomości, której wartość szacunkowa </w:t>
      </w:r>
      <w:r>
        <w:t>przekracza kwotę</w:t>
      </w:r>
      <w:r>
        <w:br/>
        <w:t>10 000,00 zł, osoba przystępująca do licytacji składa do organu egzekucyjnego wadium w wysokości 1/10 wartości szacunkowej ruchomości tj. 1 780,00 zł. Wadium należy wpłacić na rachunek egzekucyjny prowadzony przez NBP O/O Gdańsk nr 72 1010</w:t>
      </w:r>
      <w:r>
        <w:t xml:space="preserve"> 1140 0143 7113 9120 0000. Wadium uznaje się za złożone jeżeli wpłata wadium zostanie uznana (zaksięgowana) na rachunku organu egzekucyjnego najpóźniej w dniu poprzedzającym dzień, w którym ma się odbyć licytacja.</w:t>
      </w:r>
    </w:p>
    <w:p w:rsidR="00964C7C" w:rsidRDefault="00964C7C">
      <w:pPr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</w:p>
    <w:p w:rsidR="00964C7C" w:rsidRDefault="0093495E">
      <w:pPr>
        <w:pStyle w:val="Tekstpodstawowy"/>
        <w:spacing w:line="276" w:lineRule="auto"/>
        <w:jc w:val="both"/>
        <w:rPr>
          <w:rFonts w:ascii="Calibri" w:hAnsi="Calibri"/>
          <w:szCs w:val="24"/>
        </w:rPr>
      </w:pPr>
      <w:r>
        <w:rPr>
          <w:rFonts w:cs="Calibri"/>
          <w:color w:val="000000"/>
          <w:szCs w:val="24"/>
        </w:rPr>
        <w:t>W tre</w:t>
      </w:r>
      <w:r>
        <w:rPr>
          <w:szCs w:val="24"/>
        </w:rPr>
        <w:t xml:space="preserve">ści przelewu proszę zamieścić </w:t>
      </w:r>
      <w:r>
        <w:rPr>
          <w:b/>
          <w:szCs w:val="24"/>
        </w:rPr>
        <w:t xml:space="preserve">słowo </w:t>
      </w:r>
      <w:r>
        <w:rPr>
          <w:b/>
          <w:szCs w:val="24"/>
        </w:rPr>
        <w:t xml:space="preserve">wadium i oznaczenie ruchomości, </w:t>
      </w:r>
      <w:r>
        <w:rPr>
          <w:szCs w:val="24"/>
        </w:rPr>
        <w:t>której dotyczy.</w:t>
      </w:r>
    </w:p>
    <w:p w:rsidR="00964C7C" w:rsidRDefault="0093495E">
      <w:pPr>
        <w:pStyle w:val="Tekstpodstawowy"/>
        <w:spacing w:line="276" w:lineRule="auto"/>
        <w:jc w:val="both"/>
        <w:rPr>
          <w:rFonts w:ascii="Calibri" w:hAnsi="Calibri"/>
          <w:szCs w:val="24"/>
        </w:rPr>
      </w:pPr>
      <w:r>
        <w:rPr>
          <w:szCs w:val="24"/>
        </w:rPr>
        <w:t>Nie później niż na godzinę przed terminem licytacji wadium mogą Państwo złożyć:</w:t>
      </w:r>
    </w:p>
    <w:p w:rsidR="00964C7C" w:rsidRDefault="0093495E">
      <w:pPr>
        <w:pStyle w:val="Tekstpodstawowy"/>
        <w:spacing w:line="276" w:lineRule="auto"/>
        <w:jc w:val="both"/>
        <w:rPr>
          <w:rFonts w:ascii="Calibri" w:hAnsi="Calibri"/>
          <w:szCs w:val="24"/>
        </w:rPr>
      </w:pPr>
      <w:r>
        <w:rPr>
          <w:szCs w:val="24"/>
        </w:rPr>
        <w:t>1) bezgotówkowo przy użyciu terminala płatniczego,</w:t>
      </w:r>
    </w:p>
    <w:p w:rsidR="00964C7C" w:rsidRDefault="0093495E">
      <w:pPr>
        <w:pStyle w:val="Tekstpodstawowy"/>
        <w:spacing w:after="0" w:line="276" w:lineRule="auto"/>
        <w:jc w:val="both"/>
        <w:rPr>
          <w:rFonts w:ascii="Calibri" w:hAnsi="Calibri"/>
          <w:szCs w:val="24"/>
        </w:rPr>
      </w:pPr>
      <w:r>
        <w:rPr>
          <w:szCs w:val="24"/>
        </w:rPr>
        <w:t>2) gotówką pracownikowi obsługującemu organ egzekucyjny.</w:t>
      </w:r>
    </w:p>
    <w:p w:rsidR="00964C7C" w:rsidRDefault="00964C7C">
      <w:pPr>
        <w:pStyle w:val="Tekstpodstawowy"/>
        <w:spacing w:line="276" w:lineRule="auto"/>
        <w:jc w:val="both"/>
        <w:rPr>
          <w:rFonts w:ascii="Calibri" w:hAnsi="Calibri"/>
          <w:szCs w:val="24"/>
        </w:rPr>
      </w:pPr>
    </w:p>
    <w:p w:rsidR="00964C7C" w:rsidRDefault="0093495E">
      <w:pPr>
        <w:pStyle w:val="Tekstpodstawowy"/>
        <w:spacing w:after="0" w:line="276" w:lineRule="auto"/>
        <w:jc w:val="both"/>
      </w:pPr>
      <w:r>
        <w:rPr>
          <w:szCs w:val="24"/>
        </w:rPr>
        <w:t xml:space="preserve">Zatrzymam wadium </w:t>
      </w:r>
      <w:r>
        <w:rPr>
          <w:szCs w:val="24"/>
        </w:rPr>
        <w:t>złożone przez licytanta, któremu udzielimy przybicia.</w:t>
      </w:r>
    </w:p>
    <w:p w:rsidR="00964C7C" w:rsidRDefault="00964C7C">
      <w:pPr>
        <w:pStyle w:val="Tekstpodstawowy"/>
        <w:spacing w:after="6" w:line="276" w:lineRule="auto"/>
        <w:jc w:val="both"/>
        <w:rPr>
          <w:rStyle w:val="Nagwek2Znak"/>
          <w:rFonts w:ascii="Calibri" w:eastAsia="Lato" w:hAnsi="Calibri" w:cstheme="minorHAnsi"/>
          <w:color w:val="FF0000"/>
        </w:rPr>
      </w:pPr>
    </w:p>
    <w:p w:rsidR="00964C7C" w:rsidRDefault="0093495E">
      <w:pPr>
        <w:pStyle w:val="Tekstpodstawowy"/>
        <w:spacing w:line="276" w:lineRule="auto"/>
        <w:jc w:val="both"/>
      </w:pPr>
      <w:r>
        <w:rPr>
          <w:rStyle w:val="Nagwek2Znak"/>
          <w:rFonts w:eastAsia="Lato" w:cstheme="minorHAnsi"/>
          <w:b w:val="0"/>
          <w:color w:val="auto"/>
          <w:sz w:val="24"/>
          <w:szCs w:val="24"/>
        </w:rPr>
        <w:t>Pozosta</w:t>
      </w:r>
      <w:r>
        <w:rPr>
          <w:szCs w:val="24"/>
        </w:rPr>
        <w:t>łym</w:t>
      </w:r>
      <w:r>
        <w:rPr>
          <w:szCs w:val="24"/>
        </w:rPr>
        <w:t xml:space="preserve"> licytantom zwrócę wadium:</w:t>
      </w:r>
    </w:p>
    <w:p w:rsidR="00964C7C" w:rsidRDefault="0093495E">
      <w:pPr>
        <w:pStyle w:val="Tekstpodstawowy"/>
        <w:spacing w:line="276" w:lineRule="auto"/>
        <w:jc w:val="both"/>
        <w:rPr>
          <w:rFonts w:ascii="Calibri" w:hAnsi="Calibri"/>
          <w:szCs w:val="24"/>
        </w:rPr>
      </w:pPr>
      <w:r>
        <w:rPr>
          <w:szCs w:val="24"/>
        </w:rPr>
        <w:t>1) wpłacone bezgotówkowo: nie później niż w terminie 7 dni roboczych od dnia licytacji;</w:t>
      </w:r>
    </w:p>
    <w:p w:rsidR="00964C7C" w:rsidRDefault="0093495E">
      <w:pPr>
        <w:pStyle w:val="Tekstpodstawowy"/>
        <w:spacing w:line="276" w:lineRule="auto"/>
        <w:jc w:val="both"/>
        <w:rPr>
          <w:rFonts w:ascii="Calibri" w:hAnsi="Calibri"/>
          <w:szCs w:val="24"/>
        </w:rPr>
      </w:pPr>
      <w:r>
        <w:rPr>
          <w:szCs w:val="24"/>
        </w:rPr>
        <w:t>2) wpłacone w gotówce – niezwłocznie.</w:t>
      </w:r>
    </w:p>
    <w:p w:rsidR="00964C7C" w:rsidRDefault="0093495E">
      <w:pPr>
        <w:pStyle w:val="Tekstpodstawowy"/>
        <w:spacing w:line="276" w:lineRule="auto"/>
        <w:jc w:val="both"/>
        <w:rPr>
          <w:rFonts w:ascii="Calibri" w:hAnsi="Calibri"/>
          <w:szCs w:val="24"/>
        </w:rPr>
      </w:pPr>
      <w:r>
        <w:rPr>
          <w:szCs w:val="24"/>
        </w:rPr>
        <w:t>W licytacji nie mogą uczestniczyć osob</w:t>
      </w:r>
      <w:r>
        <w:rPr>
          <w:szCs w:val="24"/>
        </w:rPr>
        <w:t>y, o których mowa w art. 107 § 4 ustawy z dnia 17 czerwca</w:t>
      </w:r>
    </w:p>
    <w:p w:rsidR="00964C7C" w:rsidRDefault="0093495E">
      <w:pPr>
        <w:pStyle w:val="Tekstpodstawowy"/>
        <w:spacing w:line="276" w:lineRule="auto"/>
        <w:jc w:val="both"/>
        <w:rPr>
          <w:rFonts w:ascii="Calibri" w:hAnsi="Calibri"/>
          <w:szCs w:val="24"/>
        </w:rPr>
      </w:pPr>
      <w:r>
        <w:rPr>
          <w:szCs w:val="24"/>
        </w:rPr>
        <w:t>1966 r. o postępowaniu egzekucyjnym w administracji (t.j. Dz. U. z 2025 r., poz. 132 ze zm.).</w:t>
      </w:r>
    </w:p>
    <w:p w:rsidR="00964C7C" w:rsidRDefault="0093495E">
      <w:r>
        <w:rPr>
          <w:rStyle w:val="Nagwek2Znak"/>
          <w:rFonts w:eastAsia="Lato" w:cs="Calibri"/>
          <w:color w:val="FF0000"/>
          <w:szCs w:val="28"/>
        </w:rPr>
        <w:t>Pozosta</w:t>
      </w:r>
      <w:r>
        <w:rPr>
          <w:b/>
          <w:color w:val="FF0000"/>
          <w:sz w:val="28"/>
          <w:szCs w:val="28"/>
        </w:rPr>
        <w:t>łe informacje</w:t>
      </w:r>
    </w:p>
    <w:p w:rsidR="00964C7C" w:rsidRDefault="0093495E">
      <w:pPr>
        <w:pStyle w:val="Tekstpodstawowy"/>
        <w:spacing w:line="276" w:lineRule="auto"/>
        <w:jc w:val="both"/>
        <w:rPr>
          <w:rFonts w:ascii="Calibri" w:hAnsi="Calibri"/>
        </w:rPr>
      </w:pPr>
      <w:r>
        <w:t>Nabywca wyżej wymienionej ruchomości zobowiązany jest do jej odbioru we własnym zak</w:t>
      </w:r>
      <w:r>
        <w:t>resie i na swój koszt.</w:t>
      </w:r>
    </w:p>
    <w:p w:rsidR="00964C7C" w:rsidRDefault="0093495E">
      <w:pPr>
        <w:pStyle w:val="Tekstpodstawowy"/>
        <w:spacing w:line="276" w:lineRule="auto"/>
        <w:jc w:val="both"/>
        <w:rPr>
          <w:rFonts w:ascii="Calibri" w:hAnsi="Calibri"/>
        </w:rPr>
      </w:pPr>
      <w:r>
        <w:t>Sprzedaż jest opodatkowana podatkiem od towarów i usług.</w:t>
      </w:r>
    </w:p>
    <w:p w:rsidR="00964C7C" w:rsidRDefault="0093495E">
      <w:pPr>
        <w:pStyle w:val="Tekstpodstawowy"/>
        <w:spacing w:line="276" w:lineRule="auto"/>
        <w:jc w:val="both"/>
        <w:rPr>
          <w:rFonts w:ascii="Calibri" w:hAnsi="Calibri"/>
        </w:rPr>
      </w:pPr>
      <w:r>
        <w:t>Nabywca obowiązany jest niezwłocznie po udzieleniu mu przybicia uiścić przynajmniej cenę wywołania w gotówce lub bezgotówkowo za pośrednictwem terminala płatniczego (jeżeli po stronie organu egzekucyjnego istnieją warunki techniczne do zapłaty bezgotówkowe</w:t>
      </w:r>
      <w:r>
        <w:t>j przy użyciu terminala płatniczego). Jeżeli ceny tej nabywca nie uiści, traci prawo wynikłe z przybicia i nie może uczestniczyć w licytacji tej samej ruchomości. Pozostałą do zapłaty część wylicytowanej kwoty należy wpłacić na ww. rachunek bankowy organow</w:t>
      </w:r>
      <w:r>
        <w:t xml:space="preserve">i egzekucyjnemu niezwłocznie, nie później niż w dniu następującym po dniu licytacji. </w:t>
      </w:r>
    </w:p>
    <w:p w:rsidR="00964C7C" w:rsidRDefault="0093495E">
      <w:pPr>
        <w:pStyle w:val="Tekstpodstawowy"/>
        <w:spacing w:line="276" w:lineRule="auto"/>
        <w:jc w:val="both"/>
        <w:rPr>
          <w:rFonts w:ascii="Calibri" w:hAnsi="Calibri"/>
        </w:rPr>
      </w:pPr>
      <w:r>
        <w:t>Naczelnik Pierwszego Urzędu Skarbowego w Gdyni nie odpowiada za wady sprzedawanej ruchomości, nie udziela gwarancji oraz nie ponosi odpowiedzialności z tytułu reklamacji.</w:t>
      </w:r>
    </w:p>
    <w:p w:rsidR="00964C7C" w:rsidRDefault="0093495E">
      <w:pPr>
        <w:pStyle w:val="Tekstpodstawowy"/>
        <w:spacing w:line="276" w:lineRule="auto"/>
        <w:jc w:val="both"/>
        <w:rPr>
          <w:rFonts w:ascii="Calibri" w:hAnsi="Calibri"/>
        </w:rPr>
      </w:pPr>
      <w:r>
        <w:t>Zakupione ruchomości nie podlegają zwrotowi.</w:t>
      </w:r>
    </w:p>
    <w:p w:rsidR="00964C7C" w:rsidRDefault="0093495E">
      <w:pPr>
        <w:rPr>
          <w:rFonts w:ascii="Calibri" w:hAnsi="Calibri"/>
        </w:rPr>
      </w:pPr>
      <w:r>
        <w:rPr>
          <w:bCs/>
          <w:sz w:val="24"/>
        </w:rPr>
        <w:t>Szczeg</w:t>
      </w:r>
      <w:r>
        <w:rPr>
          <w:sz w:val="24"/>
        </w:rPr>
        <w:t>ółowe informacje można uzyskać w Dziale Egzekucji Administracyjnej:</w:t>
      </w:r>
    </w:p>
    <w:p w:rsidR="00964C7C" w:rsidRDefault="0093495E">
      <w:pPr>
        <w:pStyle w:val="TekstpismaKAS"/>
        <w:ind w:left="852"/>
        <w:rPr>
          <w:rFonts w:ascii="Calibri" w:hAnsi="Calibri"/>
        </w:rPr>
      </w:pPr>
      <w:r>
        <w:rPr>
          <w:noProof/>
          <w:color w:val="auto"/>
          <w:lang w:eastAsia="pl-PL"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telefonicznie – pod numerem </w:t>
      </w:r>
      <w:r>
        <w:rPr>
          <w:bCs/>
          <w:color w:val="auto"/>
        </w:rPr>
        <w:t>telefonu: 58 765 47 59, 602 751 124</w:t>
      </w:r>
      <w:r>
        <w:rPr>
          <w:noProof/>
          <w:lang w:eastAsia="pl-PL"/>
        </w:rPr>
        <w:drawing>
          <wp:anchor distT="0" distB="0" distL="0" distR="114300" simplePos="0" relativeHeight="10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color w:val="auto"/>
        </w:rPr>
        <w:br/>
      </w:r>
    </w:p>
    <w:p w:rsidR="00964C7C" w:rsidRDefault="0093495E">
      <w:pPr>
        <w:pStyle w:val="rdtytuKAS"/>
        <w:rPr>
          <w:color w:val="FF0000"/>
        </w:rPr>
      </w:pPr>
      <w:r>
        <w:rPr>
          <w:color w:val="FF0000"/>
        </w:rPr>
        <w:t xml:space="preserve">Podstawa prawna </w:t>
      </w:r>
    </w:p>
    <w:p w:rsidR="00964C7C" w:rsidRDefault="0093495E">
      <w:pPr>
        <w:pStyle w:val="Akapitzlist"/>
        <w:spacing w:after="0"/>
        <w:ind w:left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>Art. 105-105b, art. 105c-107 ustawy z dnia 17 czerwc</w:t>
      </w:r>
      <w:r>
        <w:rPr>
          <w:rFonts w:cs="Calibri"/>
          <w:color w:val="000000"/>
          <w:sz w:val="24"/>
          <w:szCs w:val="24"/>
          <w:lang w:eastAsia="pl-PL"/>
        </w:rPr>
        <w:t>a 1966r. o post</w:t>
      </w:r>
      <w:r>
        <w:rPr>
          <w:rFonts w:cs="Calibri"/>
          <w:color w:val="000000"/>
          <w:sz w:val="24"/>
          <w:szCs w:val="24"/>
        </w:rPr>
        <w:t xml:space="preserve">ępowaniu egzekucyjnym </w:t>
      </w:r>
      <w:r>
        <w:rPr>
          <w:rFonts w:cs="Calibri"/>
          <w:color w:val="000000"/>
          <w:sz w:val="24"/>
          <w:szCs w:val="24"/>
        </w:rPr>
        <w:br/>
        <w:t>w administracji (Dz. U. z 2025r., poz.132, ze zm.).</w:t>
      </w:r>
    </w:p>
    <w:p w:rsidR="00964C7C" w:rsidRDefault="00964C7C">
      <w:pPr>
        <w:jc w:val="both"/>
        <w:rPr>
          <w:rFonts w:ascii="Calibri" w:hAnsi="Calibri"/>
        </w:rPr>
      </w:pPr>
    </w:p>
    <w:p w:rsidR="00964C7C" w:rsidRDefault="0093495E">
      <w:pPr>
        <w:pStyle w:val="TekstpismaKA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Style w:val="info-list-value-uzasadnienie"/>
          <w:rFonts w:eastAsia="Calibri" w:cs="Calibri"/>
          <w:color w:val="000000"/>
          <w:sz w:val="22"/>
        </w:rPr>
        <w:t>Z wyrazami szacunku</w:t>
      </w:r>
    </w:p>
    <w:p w:rsidR="00964C7C" w:rsidRDefault="0093495E">
      <w:pPr>
        <w:widowControl w:val="0"/>
        <w:spacing w:after="0"/>
        <w:jc w:val="both"/>
      </w:pPr>
      <w:r>
        <w:rPr>
          <w:sz w:val="21"/>
          <w:lang w:val="en-US"/>
        </w:rPr>
        <w:t xml:space="preserve">  </w:t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lang w:val="en-US"/>
        </w:rPr>
        <w:t>Z up. Naczelnika Pierwszego Urzędu Skarbowego w Gdyni</w:t>
      </w:r>
    </w:p>
    <w:p w:rsidR="00964C7C" w:rsidRDefault="0093495E">
      <w:pPr>
        <w:widowControl w:val="0"/>
        <w:spacing w:after="0"/>
        <w:jc w:val="both"/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działu</w:t>
      </w:r>
    </w:p>
    <w:p w:rsidR="00964C7C" w:rsidRDefault="0093495E">
      <w:pPr>
        <w:tabs>
          <w:tab w:val="left" w:pos="284"/>
        </w:tabs>
        <w:spacing w:before="120" w:after="0" w:line="276" w:lineRule="auto"/>
        <w:ind w:left="284" w:hanging="284"/>
      </w:pPr>
      <w:r>
        <w:rPr>
          <w:rFonts w:eastAsia="Times New Roman" w:cs="Times New Roman"/>
          <w:color w:val="000000"/>
          <w:szCs w:val="24"/>
          <w:shd w:val="clear" w:color="auto" w:fill="FFFFFF"/>
        </w:rPr>
        <w:lastRenderedPageBreak/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</w:r>
      <w:r>
        <w:rPr>
          <w:rFonts w:eastAsia="Times New Roman" w:cs="Times New Roman"/>
          <w:color w:val="000000"/>
          <w:szCs w:val="24"/>
          <w:shd w:val="clear" w:color="auto" w:fill="FFFFFF"/>
        </w:rPr>
        <w:tab/>
        <w:t xml:space="preserve">                 </w:t>
      </w:r>
      <w:r>
        <w:rPr>
          <w:rFonts w:eastAsia="Calibri" w:cs="Tahoma"/>
          <w:color w:val="000000"/>
          <w:shd w:val="clear" w:color="auto" w:fill="FFFFFF"/>
        </w:rPr>
        <w:t>Tomasz Przyłucki</w:t>
      </w:r>
      <w:r>
        <w:rPr>
          <w:rFonts w:eastAsia="Calibri" w:cstheme="minorHAnsi"/>
          <w:color w:val="000000"/>
          <w:szCs w:val="24"/>
        </w:rPr>
        <w:tab/>
      </w:r>
      <w:r>
        <w:rPr>
          <w:rFonts w:eastAsia="Calibri" w:cstheme="minorHAnsi"/>
          <w:color w:val="000000"/>
          <w:szCs w:val="24"/>
        </w:rPr>
        <w:tab/>
      </w:r>
      <w:r>
        <w:rPr>
          <w:rFonts w:eastAsia="Calibri" w:cstheme="minorHAnsi"/>
          <w:color w:val="000000"/>
          <w:szCs w:val="24"/>
        </w:rPr>
        <w:tab/>
        <w:t xml:space="preserve">   </w:t>
      </w:r>
      <w:r>
        <w:rPr>
          <w:rFonts w:eastAsia="Calibri" w:cstheme="minorHAnsi"/>
          <w:color w:val="000000"/>
          <w:szCs w:val="24"/>
        </w:rPr>
        <w:tab/>
      </w:r>
      <w:r>
        <w:rPr>
          <w:rFonts w:eastAsia="Calibri" w:cstheme="minorHAnsi"/>
          <w:color w:val="000000"/>
          <w:szCs w:val="24"/>
        </w:rPr>
        <w:tab/>
      </w:r>
      <w:r>
        <w:rPr>
          <w:rFonts w:eastAsia="Calibri" w:cstheme="minorHAnsi"/>
          <w:color w:val="000000"/>
          <w:szCs w:val="24"/>
        </w:rPr>
        <w:tab/>
        <w:t xml:space="preserve">          </w:t>
      </w:r>
      <w:r>
        <w:rPr>
          <w:rFonts w:eastAsia="Calibri" w:cstheme="minorHAnsi"/>
          <w:color w:val="000000"/>
        </w:rPr>
        <w:t xml:space="preserve">   </w:t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  <w:t>/podpisano kwalifikowanym podpisem elektronicznym/</w:t>
      </w:r>
    </w:p>
    <w:sectPr w:rsidR="00964C7C">
      <w:footerReference w:type="default" r:id="rId11"/>
      <w:footerReference w:type="first" r:id="rId12"/>
      <w:pgSz w:w="11906" w:h="16838"/>
      <w:pgMar w:top="567" w:right="1021" w:bottom="1134" w:left="1021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95E" w:rsidRDefault="0093495E">
      <w:pPr>
        <w:spacing w:after="0" w:line="240" w:lineRule="auto"/>
      </w:pPr>
      <w:r>
        <w:separator/>
      </w:r>
    </w:p>
  </w:endnote>
  <w:endnote w:type="continuationSeparator" w:id="0">
    <w:p w:rsidR="0093495E" w:rsidRDefault="0093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7C" w:rsidRDefault="0093495E">
    <w:pPr>
      <w:pStyle w:val="RODOKAS"/>
      <w:rPr>
        <w:rFonts w:cs="Calibri"/>
      </w:rPr>
    </w:pPr>
    <w:r>
      <w:rPr>
        <w:rFonts w:cs="Calibri"/>
        <w:noProof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7710" cy="31369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" cy="31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4C7C" w:rsidRDefault="0093495E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77E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B77E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64C7C" w:rsidRDefault="00964C7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957018" id="Pole tekstowe 2" o:spid="_x0000_s1026" style="position:absolute;margin-left:453.6pt;margin-top:0;width:57.3pt;height:24.7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" o:allowincell="f" filled="f" stroked="f">
              <v:textbox>
                <w:txbxContent>
                  <w:p w:rsidR="00964C7C" w:rsidRDefault="0093495E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B77E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B77ED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64C7C" w:rsidRDefault="00964C7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7C" w:rsidRDefault="0093495E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7710" cy="31369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" cy="31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4C7C" w:rsidRDefault="0093495E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77E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B77E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64C7C" w:rsidRDefault="00964C7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6712B3" id="_x0000_s1027" style="position:absolute;left:0;text-align:left;margin-left:453.6pt;margin-top:0;width:57.3pt;height:24.7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" o:allowincell="f" filled="f" stroked="f">
              <v:textbox>
                <w:txbxContent>
                  <w:p w:rsidR="00964C7C" w:rsidRDefault="0093495E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B77E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B77ED">
                      <w:rPr>
                        <w:b/>
                        <w:bCs/>
                        <w:noProof/>
                        <w:color w:val="000000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64C7C" w:rsidRDefault="00964C7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>Infolinia KAS tel.+48 22 330 03 30 | ePUAP/</w:t>
    </w:r>
    <w:r>
      <w:rPr>
        <w:rFonts w:cs="Calibri"/>
        <w:i/>
        <w:iCs/>
      </w:rPr>
      <w:t>3584rtorre/</w:t>
    </w:r>
    <w:r>
      <w:rPr>
        <w:rFonts w:cs="Calibri"/>
      </w:rPr>
      <w:t>SkrytkaESP</w:t>
    </w:r>
    <w:r>
      <w:rPr>
        <w:rFonts w:cs="Calibri"/>
      </w:rPr>
      <w:t xml:space="preserve"> |</w:t>
    </w:r>
  </w:p>
  <w:p w:rsidR="00964C7C" w:rsidRDefault="0093495E">
    <w:pPr>
      <w:pStyle w:val="StopkaKAS"/>
      <w:ind w:right="650"/>
      <w:rPr>
        <w:rFonts w:cs="Calibri"/>
      </w:rPr>
    </w:pPr>
    <w:r>
      <w:rPr>
        <w:rStyle w:val="czeinternetowe"/>
      </w:rPr>
      <w:t>www.pomorskie.kas.gov.pl</w:t>
    </w:r>
  </w:p>
  <w:p w:rsidR="00964C7C" w:rsidRDefault="0093495E">
    <w:pPr>
      <w:pStyle w:val="StopkaKAS"/>
      <w:ind w:right="650"/>
      <w:rPr>
        <w:rFonts w:cs="Calibri"/>
      </w:rPr>
    </w:pPr>
    <w:r>
      <w:t>Pierwszy Urząd Skarbowy w Gdyni, ul. Władysława IV 2/4, 81-353 Gdynia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95E" w:rsidRDefault="0093495E">
      <w:pPr>
        <w:spacing w:after="0" w:line="240" w:lineRule="auto"/>
      </w:pPr>
      <w:r>
        <w:separator/>
      </w:r>
    </w:p>
  </w:footnote>
  <w:footnote w:type="continuationSeparator" w:id="0">
    <w:p w:rsidR="0093495E" w:rsidRDefault="00934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8B9"/>
    <w:multiLevelType w:val="multilevel"/>
    <w:tmpl w:val="AD1A4D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8870A6"/>
    <w:multiLevelType w:val="multilevel"/>
    <w:tmpl w:val="C11CF732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453A4E"/>
    <w:multiLevelType w:val="multilevel"/>
    <w:tmpl w:val="047A2A16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7C"/>
    <w:rsid w:val="0093495E"/>
    <w:rsid w:val="00964C7C"/>
    <w:rsid w:val="009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7B5CD-C339-4449-8534-9551AB8C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1654E1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1654E1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5B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3543A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22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2227C"/>
    <w:rPr>
      <w:rFonts w:ascii="Cambria" w:eastAsia="Cambria" w:hAnsi="Cambria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2227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966BB"/>
    <w:rPr>
      <w:color w:val="605E5C"/>
      <w:shd w:val="clear" w:color="auto" w:fill="E1DFDD"/>
    </w:rPr>
  </w:style>
  <w:style w:type="character" w:customStyle="1" w:styleId="Domylnaczcionkaakapitu3">
    <w:name w:val="Domyślna czcionka akapitu3"/>
    <w:qFormat/>
  </w:style>
  <w:style w:type="character" w:customStyle="1" w:styleId="info-list-value-uzasadnienie">
    <w:name w:val="info-list-value-uzasadnienie"/>
    <w:basedOn w:val="Domylnaczcionkaakapitu3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  <w:outlineLvl w:val="9"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qFormat/>
    <w:rsid w:val="003D0E26"/>
    <w:pPr>
      <w:contextualSpacing/>
      <w:outlineLvl w:val="9"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2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1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tabs>
        <w:tab w:val="num" w:pos="284"/>
      </w:tabs>
      <w:spacing w:before="120" w:after="0" w:line="276" w:lineRule="auto"/>
      <w:ind w:left="284"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5B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2" w:lineRule="auto"/>
      <w:textAlignment w:val="baseline"/>
    </w:pPr>
    <w:rPr>
      <w:rFonts w:cs="Tahoma"/>
    </w:rPr>
  </w:style>
  <w:style w:type="paragraph" w:customStyle="1" w:styleId="Zawartotabeli">
    <w:name w:val="Zawartość tabeli"/>
    <w:basedOn w:val="Normalny"/>
    <w:qFormat/>
    <w:rsid w:val="00957E22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customStyle="1" w:styleId="Default">
    <w:name w:val="Default"/>
    <w:qFormat/>
    <w:rPr>
      <w:rFonts w:ascii="Lato" w:eastAsia="Calibri" w:hAnsi="Lato"/>
      <w:color w:val="000000"/>
      <w:sz w:val="24"/>
    </w:rPr>
  </w:style>
  <w:style w:type="paragraph" w:customStyle="1" w:styleId="Standardowy1">
    <w:name w:val="Standardowy1"/>
    <w:qFormat/>
    <w:rPr>
      <w:rFonts w:cs="Calibri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32FF1-A883-40A4-97C6-8FFF7112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ofert</vt:lpstr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ofert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Wietrzyńska Dagmara</cp:lastModifiedBy>
  <cp:revision>2</cp:revision>
  <cp:lastPrinted>2025-11-12T12:40:00Z</cp:lastPrinted>
  <dcterms:created xsi:type="dcterms:W3CDTF">2025-12-09T09:56:00Z</dcterms:created>
  <dcterms:modified xsi:type="dcterms:W3CDTF">2025-12-09T09:56:00Z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aneJednostki1">
    <vt:lpwstr>Izba Administracji Skarbowej       we Wrocławiu</vt:lpwstr>
  </property>
  <property fmtid="{D5CDD505-2E9C-101B-9397-08002B2CF9AE}" pid="10" name="DaneJednostki10">
    <vt:lpwstr>Dyrektor Izby  Administracji Skarbowej we Wrocławiu</vt:lpwstr>
  </property>
  <property fmtid="{D5CDD505-2E9C-101B-9397-08002B2CF9AE}" pid="11" name="DaneJednostki11">
    <vt:lpwstr>/jpgik2292v/skrytka</vt:lpwstr>
  </property>
  <property fmtid="{D5CDD505-2E9C-101B-9397-08002B2CF9AE}" pid="12" name="DaneJednostki12">
    <vt:lpwstr>Dyrektor</vt:lpwstr>
  </property>
  <property fmtid="{D5CDD505-2E9C-101B-9397-08002B2CF9AE}" pid="13" name="DaneJednostki13">
    <vt:lpwstr>Izby  Administracji Skarbowej </vt:lpwstr>
  </property>
  <property fmtid="{D5CDD505-2E9C-101B-9397-08002B2CF9AE}" pid="14" name="DaneJednostki14">
    <vt:lpwstr>we Wrocławiu</vt:lpwstr>
  </property>
  <property fmtid="{D5CDD505-2E9C-101B-9397-08002B2CF9AE}" pid="15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6" name="DaneJednostki16">
    <vt:lpwstr>$Godziny urzędowania – linia 16</vt:lpwstr>
  </property>
  <property fmtid="{D5CDD505-2E9C-101B-9397-08002B2CF9AE}" pid="17" name="DaneJednostki17">
    <vt:lpwstr>$telefon – umów wizytę – linia 17</vt:lpwstr>
  </property>
  <property fmtid="{D5CDD505-2E9C-101B-9397-08002B2CF9AE}" pid="18" name="DaneJednostki2">
    <vt:lpwstr>Wrocław</vt:lpwstr>
  </property>
  <property fmtid="{D5CDD505-2E9C-101B-9397-08002B2CF9AE}" pid="19" name="DaneJednostki3">
    <vt:lpwstr>53-333</vt:lpwstr>
  </property>
  <property fmtid="{D5CDD505-2E9C-101B-9397-08002B2CF9AE}" pid="20" name="DaneJednostki4">
    <vt:lpwstr>Powstańców Śląskich</vt:lpwstr>
  </property>
  <property fmtid="{D5CDD505-2E9C-101B-9397-08002B2CF9AE}" pid="21" name="DaneJednostki5">
    <vt:lpwstr>24,26</vt:lpwstr>
  </property>
  <property fmtid="{D5CDD505-2E9C-101B-9397-08002B2CF9AE}" pid="22" name="DaneJednostki6">
    <vt:lpwstr>71/365 24 00</vt:lpwstr>
  </property>
  <property fmtid="{D5CDD505-2E9C-101B-9397-08002B2CF9AE}" pid="23" name="DaneJednostki7">
    <vt:lpwstr>71/365 27 80</vt:lpwstr>
  </property>
  <property fmtid="{D5CDD505-2E9C-101B-9397-08002B2CF9AE}" pid="24" name="DaneJednostki8">
    <vt:lpwstr>ias.wroclaw@mf.gov.pl</vt:lpwstr>
  </property>
  <property fmtid="{D5CDD505-2E9C-101B-9397-08002B2CF9AE}" pid="25" name="DaneJednostki9">
    <vt:lpwstr>www.dolnoslaskie.kas.gov.pl</vt:lpwstr>
  </property>
  <property fmtid="{D5CDD505-2E9C-101B-9397-08002B2CF9AE}" pid="26" name="DataNaPismie">
    <vt:lpwstr/>
  </property>
  <property fmtid="{D5CDD505-2E9C-101B-9397-08002B2CF9AE}" pid="27" name="KodKomorki">
    <vt:lpwstr>DIAS</vt:lpwstr>
  </property>
  <property fmtid="{D5CDD505-2E9C-101B-9397-08002B2CF9AE}" pid="28" name="KodKreskowy">
    <vt:lpwstr/>
  </property>
  <property fmtid="{D5CDD505-2E9C-101B-9397-08002B2CF9AE}" pid="29" name="KodWydzialu">
    <vt:lpwstr>IEE1</vt:lpwstr>
  </property>
  <property fmtid="{D5CDD505-2E9C-101B-9397-08002B2CF9AE}" pid="30" name="Komorka">
    <vt:lpwstr>Dyrektor Izby Administracji Skarbowej we Wrocławiu</vt:lpwstr>
  </property>
  <property fmtid="{D5CDD505-2E9C-101B-9397-08002B2CF9AE}" pid="31" name="OpisPisma">
    <vt:lpwstr>.</vt:lpwstr>
  </property>
  <property fmtid="{D5CDD505-2E9C-101B-9397-08002B2CF9AE}" pid="32" name="PolaDodatkowe1">
    <vt:lpwstr>Izba Administracji Skarbowej       we Wrocławiu</vt:lpwstr>
  </property>
  <property fmtid="{D5CDD505-2E9C-101B-9397-08002B2CF9AE}" pid="33" name="PolaDodatkowe10">
    <vt:lpwstr>Dyrektor Izby  Administracji Skarbowej we Wrocławiu</vt:lpwstr>
  </property>
  <property fmtid="{D5CDD505-2E9C-101B-9397-08002B2CF9AE}" pid="34" name="PolaDodatkowe11">
    <vt:lpwstr>/jpgik2292v/skrytka</vt:lpwstr>
  </property>
  <property fmtid="{D5CDD505-2E9C-101B-9397-08002B2CF9AE}" pid="35" name="PolaDodatkowe12">
    <vt:lpwstr>Dyrektor</vt:lpwstr>
  </property>
  <property fmtid="{D5CDD505-2E9C-101B-9397-08002B2CF9AE}" pid="36" name="PolaDodatkowe13">
    <vt:lpwstr>Izby  Administracji Skarbowej </vt:lpwstr>
  </property>
  <property fmtid="{D5CDD505-2E9C-101B-9397-08002B2CF9AE}" pid="37" name="PolaDodatkowe14">
    <vt:lpwstr>we Wrocławiu</vt:lpwstr>
  </property>
  <property fmtid="{D5CDD505-2E9C-101B-9397-08002B2CF9AE}" pid="38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39" name="PolaDodatkowe2">
    <vt:lpwstr>Wrocław</vt:lpwstr>
  </property>
  <property fmtid="{D5CDD505-2E9C-101B-9397-08002B2CF9AE}" pid="40" name="PolaDodatkowe3">
    <vt:lpwstr>53-333</vt:lpwstr>
  </property>
  <property fmtid="{D5CDD505-2E9C-101B-9397-08002B2CF9AE}" pid="41" name="PolaDodatkowe4">
    <vt:lpwstr>Powstańców Śląskich</vt:lpwstr>
  </property>
  <property fmtid="{D5CDD505-2E9C-101B-9397-08002B2CF9AE}" pid="42" name="PolaDodatkowe5">
    <vt:lpwstr>24,26</vt:lpwstr>
  </property>
  <property fmtid="{D5CDD505-2E9C-101B-9397-08002B2CF9AE}" pid="43" name="PolaDodatkowe6">
    <vt:lpwstr>71/365 24 00</vt:lpwstr>
  </property>
  <property fmtid="{D5CDD505-2E9C-101B-9397-08002B2CF9AE}" pid="44" name="PolaDodatkowe7">
    <vt:lpwstr>71/365 27 80</vt:lpwstr>
  </property>
  <property fmtid="{D5CDD505-2E9C-101B-9397-08002B2CF9AE}" pid="45" name="PolaDodatkowe8">
    <vt:lpwstr>ias.wroclaw@mf.gov.pl</vt:lpwstr>
  </property>
  <property fmtid="{D5CDD505-2E9C-101B-9397-08002B2CF9AE}" pid="46" name="PolaDodatkowe9">
    <vt:lpwstr>www.dolnoslaskie.kas.gov.pl</vt:lpwstr>
  </property>
  <property fmtid="{D5CDD505-2E9C-101B-9397-08002B2CF9AE}" pid="47" name="PrzekazanieDo">
    <vt:lpwstr/>
  </property>
  <property fmtid="{D5CDD505-2E9C-101B-9397-08002B2CF9AE}" pid="48" name="PrzekazanieDoKomorkaPracownika">
    <vt:lpwstr/>
  </property>
  <property fmtid="{D5CDD505-2E9C-101B-9397-08002B2CF9AE}" pid="49" name="PrzekazanieDoStanowisko">
    <vt:lpwstr/>
  </property>
  <property fmtid="{D5CDD505-2E9C-101B-9397-08002B2CF9AE}" pid="50" name="PrzekazanieWgRozdzielnika">
    <vt:lpwstr/>
  </property>
  <property fmtid="{D5CDD505-2E9C-101B-9397-08002B2CF9AE}" pid="51" name="Stanowisko">
    <vt:lpwstr>główny ekspert skarbowy</vt:lpwstr>
  </property>
  <property fmtid="{D5CDD505-2E9C-101B-9397-08002B2CF9AE}" pid="52" name="TrescPisma">
    <vt:lpwstr/>
  </property>
  <property fmtid="{D5CDD505-2E9C-101B-9397-08002B2CF9AE}" pid="53" name="UNPPisma">
    <vt:lpwstr>0201-24-070132</vt:lpwstr>
  </property>
  <property fmtid="{D5CDD505-2E9C-101B-9397-08002B2CF9AE}" pid="54" name="Wydzial">
    <vt:lpwstr>Pierwszy Dział Egzekucji Administracyjnej</vt:lpwstr>
  </property>
  <property fmtid="{D5CDD505-2E9C-101B-9397-08002B2CF9AE}" pid="55" name="ZaakceptowanePrzez">
    <vt:lpwstr>n/d</vt:lpwstr>
  </property>
  <property fmtid="{D5CDD505-2E9C-101B-9397-08002B2CF9AE}" pid="56" name="ZnakPisma">
    <vt:lpwstr/>
  </property>
  <property fmtid="{D5CDD505-2E9C-101B-9397-08002B2CF9AE}" pid="57" name="ZnakSprawy">
    <vt:lpwstr/>
  </property>
  <property fmtid="{D5CDD505-2E9C-101B-9397-08002B2CF9AE}" pid="58" name="ZnakSprawy2">
    <vt:lpwstr/>
  </property>
  <property fmtid="{D5CDD505-2E9C-101B-9397-08002B2CF9AE}" pid="59" name="ZnakSprawyPrzedPrzeniesieniem">
    <vt:lpwstr/>
  </property>
  <property fmtid="{D5CDD505-2E9C-101B-9397-08002B2CF9AE}" pid="60" name="adresEMail">
    <vt:lpwstr/>
  </property>
  <property fmtid="{D5CDD505-2E9C-101B-9397-08002B2CF9AE}" pid="61" name="adresImie">
    <vt:lpwstr/>
  </property>
  <property fmtid="{D5CDD505-2E9C-101B-9397-08002B2CF9AE}" pid="62" name="adresKodPocztowy">
    <vt:lpwstr/>
  </property>
  <property fmtid="{D5CDD505-2E9C-101B-9397-08002B2CF9AE}" pid="63" name="adresMiejscowosc">
    <vt:lpwstr/>
  </property>
  <property fmtid="{D5CDD505-2E9C-101B-9397-08002B2CF9AE}" pid="64" name="adresNIP">
    <vt:lpwstr>$NIP</vt:lpwstr>
  </property>
  <property fmtid="{D5CDD505-2E9C-101B-9397-08002B2CF9AE}" pid="65" name="adresNazwa">
    <vt:lpwstr/>
  </property>
  <property fmtid="{D5CDD505-2E9C-101B-9397-08002B2CF9AE}" pid="66" name="adresNazwisko">
    <vt:lpwstr/>
  </property>
  <property fmtid="{D5CDD505-2E9C-101B-9397-08002B2CF9AE}" pid="67" name="adresNrDomu">
    <vt:lpwstr/>
  </property>
  <property fmtid="{D5CDD505-2E9C-101B-9397-08002B2CF9AE}" pid="68" name="adresNrLokalu">
    <vt:lpwstr/>
  </property>
  <property fmtid="{D5CDD505-2E9C-101B-9397-08002B2CF9AE}" pid="69" name="adresOddzial">
    <vt:lpwstr/>
  </property>
  <property fmtid="{D5CDD505-2E9C-101B-9397-08002B2CF9AE}" pid="70" name="adresPESEL">
    <vt:lpwstr>$PESEL</vt:lpwstr>
  </property>
  <property fmtid="{D5CDD505-2E9C-101B-9397-08002B2CF9AE}" pid="71" name="adresPoczta">
    <vt:lpwstr/>
  </property>
  <property fmtid="{D5CDD505-2E9C-101B-9397-08002B2CF9AE}" pid="72" name="adresTypUlicy">
    <vt:lpwstr/>
  </property>
  <property fmtid="{D5CDD505-2E9C-101B-9397-08002B2CF9AE}" pid="73" name="adresUlic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