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17 grudnia 2025 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2215-25-092570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2215-SEE.711.18.14.2022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TytupismaKAS"/>
        <w:jc w:val="left"/>
        <w:rPr/>
      </w:pPr>
      <w:r>
        <w:rPr>
          <w:color w:val="C00000"/>
          <w:sz w:val="32"/>
          <w:szCs w:val="32"/>
        </w:rPr>
        <w:t>OBWIESZCZENIE O PIERWSZEJ LICYTACJI NIERUCHOMOŚCI</w:t>
      </w:r>
    </w:p>
    <w:p>
      <w:pPr>
        <w:pStyle w:val="TekstpismaKAS"/>
        <w:rPr>
          <w:rFonts w:ascii="Calibri" w:hAnsi="Calibri"/>
        </w:rPr>
      </w:pPr>
      <w:r>
        <w:rPr/>
        <w:t>Szanowni Państwo,</w:t>
      </w:r>
    </w:p>
    <w:p>
      <w:pPr>
        <w:pStyle w:val="TekstpismaKAS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bCs/>
          <w:color w:val="auto"/>
          <w:sz w:val="24"/>
          <w:szCs w:val="24"/>
        </w:rPr>
        <w:t>informuję o sprzedaży w drodze licytacji publicznej prawa własności nieruchomości gruntowych, zabudowanych obiektami zakładu przetwórstwa mięsnego: działka ewidencyjna nr 110/9 o powierzchni 4753 m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 xml:space="preserve">², działka ewidencyjna nr 111/17 o powierzchni 880 m² oraz działka ewidencyjna nr 139/31 o powierzchni 294  m². Położone w obrębie Żelistrzewo 0026; Gmina Puck; Powiat Pucki; województwo Pomorskie. Dla przedmiotowych nieruchomości Sąd Rejonowy w Wejherowie IV Wydział Ksiąg Wieczystych prowadzi księgę wieczystą KW nr GD2W/00021369/1. </w:t>
      </w:r>
    </w:p>
    <w:p>
      <w:pPr>
        <w:pStyle w:val="TekstpismaKAS"/>
        <w:jc w:val="both"/>
        <w:rPr/>
      </w:pPr>
      <w:r>
        <w:rPr>
          <w:rStyle w:val="Teksttreci"/>
          <w:rFonts w:eastAsia="Times New Roman" w:cs="Times New Roman" w:ascii="Calibri" w:hAnsi="Calibri"/>
          <w:b w:val="false"/>
          <w:bCs w:val="false"/>
          <w:color w:val="auto"/>
          <w:spacing w:val="0"/>
          <w:w w:val="100"/>
          <w:sz w:val="24"/>
          <w:szCs w:val="24"/>
          <w:u w:val="none"/>
          <w:lang w:val="pl-PL" w:eastAsia="pl-PL"/>
        </w:rPr>
        <w:t>Nieruchomości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/>
          <w:color w:val="auto"/>
          <w:sz w:val="24"/>
          <w:szCs w:val="24"/>
        </w:rPr>
        <w:t xml:space="preserve">stanowią własność: Zakłady Mięsne MW Głowienka Spółka z o.o. </w:t>
      </w:r>
    </w:p>
    <w:p>
      <w:pPr>
        <w:pStyle w:val="TekstpismaKAS"/>
        <w:jc w:val="both"/>
        <w:rPr/>
      </w:pPr>
      <w:r>
        <w:rPr>
          <w:rStyle w:val="Teksttreci"/>
          <w:rFonts w:cs="Calibri" w:ascii="Calibri" w:hAnsi="Calibri"/>
          <w:bCs/>
          <w:color w:val="auto"/>
          <w:sz w:val="24"/>
          <w:szCs w:val="24"/>
        </w:rPr>
        <w:t>Przedmiotowa nieruchomość znajduje się na terenie bez obowiązującego planu zagospodarowania przestrzennego Gminy Puck. W aktualnie obowiązującym Studium Uwarunkowań i Kierunków Zagospodarowania Przestrzennego Gminy Puck zatwierdzonym Uchwałą Rady Gminy Puck nr XXVIl/86/2000 z dnia 03.10.2000 r. z późniejszymi zmianami, teren przedmiotowej nieruchomości znajduje się w jednostce oznaczonej symbolem:</w:t>
      </w:r>
      <w:r>
        <w:rPr>
          <w:rStyle w:val="Teksttreci"/>
          <w:rFonts w:eastAsia="Times New Roman" w:cs="Times New Roman" w:ascii="Calibri" w:hAnsi="Calibri"/>
          <w:bCs/>
          <w:color w:val="auto"/>
          <w:sz w:val="24"/>
          <w:szCs w:val="24"/>
          <w:lang w:eastAsia="pl-PL"/>
        </w:rPr>
        <w:t xml:space="preserve"> - A9; potencjalne tereny inwestycyjne. W bezpośrednim sąsiedztwie nieruchomości znajdują się tereny użytkowane rolniczo oraz tereny zabudowy zagrodowej i luźnej zabudowy mieszkalnej jednorodzinnej.</w:t>
      </w:r>
      <w:r>
        <w:rPr>
          <w:rFonts w:eastAsia="Times New Roman" w:cs="Times New Roman" w:ascii="Calibri" w:hAnsi="Calibri"/>
          <w:b w:val="false"/>
          <w:bCs/>
          <w:color w:val="auto"/>
          <w:sz w:val="24"/>
          <w:szCs w:val="24"/>
          <w:lang w:eastAsia="pl-PL"/>
        </w:rPr>
        <w:t xml:space="preserve"> </w:t>
        <w:tab/>
      </w:r>
      <w:r>
        <w:rPr>
          <w:rStyle w:val="Teksttreci"/>
          <w:rFonts w:eastAsia="Times New Roman" w:cs="Times New Roman" w:ascii="Calibri" w:hAnsi="Calibri"/>
          <w:bCs/>
          <w:color w:val="auto"/>
          <w:sz w:val="24"/>
          <w:szCs w:val="24"/>
          <w:lang w:eastAsia="pl-PL"/>
        </w:rPr>
        <w:t>Przedmiotowa nieruchomość leży w terenie uzbrojonym w sieć elektroenergetyczną, kanalizacyjną lokalną i wodociągową. Przeciętna lokalizacja na obrzeżu wsi przy asfaltowej szosie Puck - Żelistrzewo. Dojazd do nieruchomości drogą asfaltową, brak pełnego uzbrojenia terenu w sieci magistralne. Lokalizacja bez uciążliwych wpływów lokalnych. Potencjalne możliwości dalszego, niewielkiego kontynuowania zabudowy i zainwestowania - po uzyskaniu decyzji o warunkach zabudowy; zgodnie z uwarunkowaniami obowiązującego studium.</w:t>
      </w:r>
    </w:p>
    <w:p>
      <w:pPr>
        <w:pStyle w:val="TekstpismaKAS"/>
        <w:jc w:val="both"/>
        <w:rPr>
          <w:color w:val="auto"/>
        </w:rPr>
      </w:pPr>
      <w:r>
        <w:rPr/>
      </w:r>
    </w:p>
    <w:p>
      <w:pPr>
        <w:pStyle w:val="Tretekstu"/>
        <w:spacing w:lineRule="auto" w:line="240"/>
        <w:rPr/>
      </w:pPr>
      <w:r>
        <w:rPr>
          <w:rStyle w:val="Nagwek2Znak"/>
          <w:color w:val="C9211E"/>
          <w:sz w:val="26"/>
          <w:szCs w:val="26"/>
        </w:rPr>
        <w:t>Termin</w:t>
      </w:r>
      <w:r>
        <w:rPr>
          <w:rStyle w:val="Nagwek1Znak"/>
          <w:color w:val="C9211E"/>
          <w:sz w:val="26"/>
          <w:szCs w:val="26"/>
        </w:rPr>
        <w:tab/>
      </w:r>
      <w:r>
        <w:rPr>
          <w:rFonts w:cs="Calibri"/>
          <w:color w:val="C9211E"/>
          <w:sz w:val="26"/>
          <w:szCs w:val="26"/>
        </w:rPr>
        <w:t xml:space="preserve"> </w:t>
      </w:r>
      <w:r>
        <w:rPr>
          <w:rFonts w:cs="Calibri"/>
          <w:color w:val="auto"/>
          <w:sz w:val="26"/>
          <w:szCs w:val="26"/>
        </w:rPr>
        <w:t xml:space="preserve"> </w:t>
      </w:r>
      <w:r>
        <w:rPr>
          <w:rFonts w:cs="Calibri"/>
          <w:b/>
          <w:bCs/>
          <w:color w:val="auto"/>
          <w:sz w:val="26"/>
          <w:szCs w:val="26"/>
        </w:rPr>
        <w:t>23</w:t>
      </w:r>
      <w:r>
        <w:rPr>
          <w:rFonts w:eastAsia="Calibri" w:cs="Calibri"/>
          <w:b/>
          <w:bCs/>
          <w:color w:val="auto"/>
          <w:sz w:val="26"/>
          <w:szCs w:val="26"/>
        </w:rPr>
        <w:t>.01.2</w:t>
      </w:r>
      <w:r>
        <w:rPr>
          <w:rFonts w:cs="Calibri"/>
          <w:b/>
          <w:bCs/>
          <w:color w:val="auto"/>
          <w:sz w:val="26"/>
          <w:szCs w:val="26"/>
        </w:rPr>
        <w:t>026 r., godz. 11.00</w:t>
      </w:r>
    </w:p>
    <w:p>
      <w:pPr>
        <w:pStyle w:val="Normal"/>
        <w:spacing w:lineRule="auto" w:line="240" w:before="0" w:after="0"/>
        <w:rPr>
          <w:rFonts w:ascii="Calibri" w:hAnsi="Calibri"/>
          <w:color w:val="C9211E"/>
          <w:sz w:val="26"/>
          <w:szCs w:val="26"/>
        </w:rPr>
      </w:pPr>
      <w:r>
        <w:rPr>
          <w:color w:val="C9211E"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>
          <w:rStyle w:val="Nagwek2Znak"/>
          <w:color w:val="C9211E"/>
          <w:sz w:val="26"/>
          <w:szCs w:val="26"/>
        </w:rPr>
        <w:t xml:space="preserve">Miejsce     </w:t>
      </w:r>
      <w:r>
        <w:rPr>
          <w:rStyle w:val="Nagwek2Znak"/>
          <w:b/>
          <w:bCs/>
          <w:i w:val="false"/>
          <w:iCs w:val="false"/>
          <w:color w:val="auto"/>
          <w:sz w:val="26"/>
          <w:szCs w:val="26"/>
          <w:lang w:val="pl-PL"/>
        </w:rPr>
        <w:t>Urząd Skarbowy w Pucku, 84-100 Puck ul. Kmdr E. Szystowskiego 18</w:t>
      </w:r>
    </w:p>
    <w:p>
      <w:pPr>
        <w:pStyle w:val="Nagwek2"/>
        <w:spacing w:lineRule="auto" w:line="240" w:before="0" w:after="0"/>
        <w:rPr>
          <w:rFonts w:ascii="Calibri" w:hAnsi="Calibri"/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agwek2"/>
        <w:spacing w:lineRule="auto" w:line="240" w:before="0" w:after="0"/>
        <w:rPr>
          <w:rFonts w:ascii="Calibri" w:hAnsi="Calibri"/>
        </w:rPr>
      </w:pPr>
      <w:r>
        <w:rPr>
          <w:b/>
          <w:bCs/>
          <w:color w:val="C9211E"/>
          <w:sz w:val="26"/>
          <w:szCs w:val="26"/>
        </w:rPr>
        <w:t xml:space="preserve">Wartość szacunkowa nieruchomości   </w:t>
      </w:r>
      <w:r>
        <w:rPr>
          <w:b/>
          <w:bCs/>
          <w:color w:val="auto"/>
          <w:sz w:val="26"/>
          <w:szCs w:val="26"/>
        </w:rPr>
        <w:t xml:space="preserve"> 1 567 700,00 zł</w:t>
      </w:r>
    </w:p>
    <w:p>
      <w:pPr>
        <w:pStyle w:val="Nagwek2"/>
        <w:rPr>
          <w:rFonts w:ascii="Calibri" w:hAnsi="Calibri"/>
        </w:rPr>
      </w:pPr>
      <w:r>
        <w:rPr>
          <w:color w:val="C9211E"/>
          <w:sz w:val="26"/>
          <w:szCs w:val="26"/>
        </w:rPr>
        <w:t>Cena wywołania</w:t>
      </w:r>
      <w:r>
        <w:rPr>
          <w:color w:val="F10D0C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  1 175 775,00 zł</w:t>
      </w:r>
    </w:p>
    <w:p>
      <w:pPr>
        <w:pStyle w:val="Nagwek2"/>
        <w:rPr>
          <w:rFonts w:ascii="Calibri" w:hAnsi="Calibri"/>
        </w:rPr>
      </w:pPr>
      <w:r>
        <w:rPr>
          <w:color w:val="C9211E"/>
          <w:sz w:val="26"/>
          <w:szCs w:val="26"/>
        </w:rPr>
        <w:t>Wadium</w:t>
      </w:r>
      <w:r>
        <w:rPr>
          <w:sz w:val="26"/>
          <w:szCs w:val="26"/>
        </w:rPr>
        <w:t xml:space="preserve">   </w:t>
      </w:r>
      <w:r>
        <w:rPr>
          <w:rFonts w:eastAsia="" w:cs="" w:cstheme="majorBidi" w:eastAsiaTheme="majorEastAsia"/>
          <w:color w:val="000000"/>
          <w:sz w:val="26"/>
          <w:szCs w:val="26"/>
          <w:shd w:fill="auto" w:val="clear"/>
        </w:rPr>
        <w:t>156 770</w:t>
      </w:r>
      <w:r>
        <w:rPr>
          <w:b/>
          <w:bCs/>
          <w:color w:val="auto"/>
          <w:sz w:val="26"/>
          <w:szCs w:val="26"/>
        </w:rPr>
        <w:t>,00 zł</w:t>
      </w:r>
    </w:p>
    <w:p>
      <w:pPr>
        <w:pStyle w:val="Tretekstu"/>
        <w:rPr>
          <w:rFonts w:ascii="Calibri" w:hAnsi="Calibri"/>
          <w:color w:val="auto"/>
        </w:rPr>
      </w:pPr>
      <w:r>
        <w:rPr>
          <w:color w:val="auto"/>
        </w:rPr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42 1010 1140 0143 8413 9120 0000.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 treści przelewu proszę zamieścić: wadium, licytacja nieruchomo</w:t>
      </w:r>
      <w:r>
        <w:rPr>
          <w:rFonts w:eastAsia="Times New Roman"/>
          <w:color w:val="auto"/>
          <w:lang w:eastAsia="pl-PL"/>
        </w:rPr>
        <w:t>ści 23.01.2026 r.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zh-CN"/>
        </w:rPr>
        <w:t xml:space="preserve">Pozostałym licytantom zwrócę wadium nie później niż w terminie 7 dni roboczych od dnia licytacji. </w:t>
      </w:r>
    </w:p>
    <w:p>
      <w:pPr>
        <w:pStyle w:val="Nagwek2"/>
        <w:rPr>
          <w:rFonts w:ascii="Calibri" w:hAnsi="Calibri"/>
        </w:rPr>
      </w:pPr>
      <w:r>
        <w:rPr>
          <w:color w:val="C9211E"/>
        </w:rPr>
        <w:t>Termin i miejsce oglądania nieruchomości</w:t>
      </w:r>
    </w:p>
    <w:p>
      <w:pPr>
        <w:pStyle w:val="TekstpismaKAS"/>
        <w:spacing w:lineRule="atLeast" w:line="23" w:before="0" w:after="0"/>
        <w:jc w:val="both"/>
        <w:rPr>
          <w:color w:val="auto"/>
        </w:rPr>
      </w:pPr>
      <w:r>
        <w:rPr>
          <w:rFonts w:cs="Arial"/>
          <w:b w:val="false"/>
          <w:bCs/>
          <w:color w:val="auto"/>
          <w:sz w:val="24"/>
          <w:szCs w:val="24"/>
          <w:lang w:val="pl-PL"/>
        </w:rPr>
        <w:t xml:space="preserve">Nieruchomość można oglądać </w:t>
      </w:r>
      <w:r>
        <w:rPr>
          <w:rFonts w:cs="Arial"/>
          <w:b w:val="false"/>
          <w:color w:val="auto"/>
          <w:sz w:val="24"/>
          <w:szCs w:val="24"/>
          <w:lang w:val="pl-PL"/>
        </w:rPr>
        <w:t>w dniu 19.01.2026 r. od godz. 10:00 do godz. 11:00, po wcześniejszym uzgodnieniu z pracownikiem organu egzekucyjnego Panem Bartoszem Jaskulke tel. 58 774 24 64. Natomiast w dniach od 19.01.2026 r. do dnia 22.01.2026 r. mogą Państwo przeglądać akta postępowania egzekucyjnego bezpośrednio związane z nieruchomością (protokół opisu i oszacowania wraz z operatem szacunkowym) w siedzibie Urzędu Skarbowego w Pucku, w godz. 9:00-12:00.</w:t>
      </w:r>
    </w:p>
    <w:p>
      <w:pPr>
        <w:pStyle w:val="Nagwek2"/>
        <w:spacing w:lineRule="auto" w:line="240" w:before="0" w:after="0"/>
        <w:ind w:left="3540" w:right="0" w:hanging="3540"/>
        <w:rPr>
          <w:rFonts w:ascii="Calibri" w:hAnsi="Calibri"/>
        </w:rPr>
      </w:pPr>
      <w:r>
        <w:rPr>
          <w:color w:val="C9211E"/>
        </w:rPr>
        <w:t xml:space="preserve">          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  <w:lang w:val="pl-PL"/>
        </w:rPr>
        <w:t>Pozostałe informacje</w:t>
      </w:r>
    </w:p>
    <w:p>
      <w:pPr>
        <w:pStyle w:val="TekstpismaKAS"/>
        <w:jc w:val="both"/>
        <w:rPr>
          <w:color w:val="auto"/>
        </w:rPr>
      </w:pPr>
      <w:r>
        <w:rPr>
          <w:bCs/>
          <w:color w:val="auto"/>
          <w:sz w:val="24"/>
          <w:szCs w:val="24"/>
          <w:lang w:val="pl-PL"/>
        </w:rPr>
        <w:t>Sprzedaż</w:t>
      </w:r>
      <w:r>
        <w:rPr>
          <w:bCs/>
          <w:i w:val="false"/>
          <w:iCs w:val="false"/>
          <w:color w:val="auto"/>
          <w:sz w:val="24"/>
          <w:szCs w:val="24"/>
          <w:lang w:val="pl-PL"/>
        </w:rPr>
        <w:t xml:space="preserve"> jest</w:t>
      </w:r>
      <w:r>
        <w:rPr>
          <w:bCs/>
          <w:color w:val="auto" w:themeShade="bf"/>
          <w:sz w:val="24"/>
          <w:szCs w:val="24"/>
          <w:lang w:val="pl-PL"/>
        </w:rPr>
        <w:t xml:space="preserve"> </w:t>
      </w:r>
      <w:r>
        <w:rPr>
          <w:bCs/>
          <w:color w:val="auto"/>
          <w:sz w:val="24"/>
          <w:szCs w:val="24"/>
          <w:lang w:val="pl-PL"/>
        </w:rPr>
        <w:t>opodatkowana podatkiem od towarów i usług. Sprzedaż nie jest opodatkowana podatkiem od czynności cywilnoprawnych.</w:t>
      </w:r>
    </w:p>
    <w:p>
      <w:pPr>
        <w:pStyle w:val="TekstpismaKAS"/>
        <w:jc w:val="both"/>
        <w:rPr>
          <w:color w:val="auto"/>
        </w:rPr>
      </w:pPr>
      <w:r>
        <w:rPr>
          <w:color w:val="auto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TekstpismaKAS"/>
        <w:jc w:val="both"/>
        <w:rPr>
          <w:color w:val="auto"/>
        </w:rPr>
      </w:pPr>
      <w:r>
        <w:rPr>
          <w:color w:val="auto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Standard"/>
        <w:spacing w:lineRule="auto" w:line="240" w:before="120" w:after="0"/>
        <w:jc w:val="both"/>
        <w:rPr>
          <w:color w:val="auto"/>
        </w:rPr>
      </w:pPr>
      <w:r>
        <w:rPr>
          <w:bCs/>
          <w:color w:val="auto"/>
          <w:sz w:val="24"/>
          <w:szCs w:val="24"/>
          <w:lang w:val="pl-PL"/>
        </w:rPr>
        <w:t>Szczegółowe informacje można uzyskać w Referacie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/>
        </w:rPr>
        <w:t xml:space="preserve">telefonicznie – pod numerem </w:t>
      </w:r>
      <w:r>
        <w:rPr>
          <w:bCs/>
          <w:lang w:val="pl-PL"/>
        </w:rPr>
        <w:t xml:space="preserve">telefonu: </w:t>
        <w:br/>
      </w:r>
      <w:r>
        <w:rPr>
          <w:bCs/>
          <w:color w:val="auto"/>
          <w:lang w:val="pl-PL"/>
        </w:rPr>
        <w:t>58 774 24 64</w:t>
      </w:r>
    </w:p>
    <w:p>
      <w:pPr>
        <w:pStyle w:val="TekstpismaKAS"/>
        <w:rPr>
          <w:rFonts w:ascii="Calibri" w:hAnsi="Calibri"/>
          <w:color w:val="2F5496" w:themeColor="accent1" w:themeShade="bf"/>
          <w:lang w:eastAsia="pl-PL"/>
        </w:rPr>
      </w:pPr>
      <w:r>
        <w:rPr>
          <w:color w:val="2F5496" w:themeColor="accent1" w:themeShade="bf"/>
          <w:lang w:eastAsia="pl-PL"/>
        </w:rPr>
      </w:r>
    </w:p>
    <w:p>
      <w:pPr>
        <w:pStyle w:val="TekstpismaKAS"/>
        <w:spacing w:before="63" w:after="0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/>
        </w:rPr>
        <w:t>elektronicznie – napisz na adres:</w:t>
      </w:r>
    </w:p>
    <w:p>
      <w:pPr>
        <w:pStyle w:val="TekstpismaKAS"/>
        <w:spacing w:before="63" w:after="0"/>
        <w:rPr>
          <w:rFonts w:ascii="Calibri" w:hAnsi="Calibri"/>
        </w:rPr>
      </w:pPr>
      <w:r>
        <w:rPr>
          <w:color w:val="002060"/>
          <w:lang w:val="pl-PL"/>
        </w:rPr>
        <w:t>bartosz.jaskulke@mf.gov.pl</w:t>
      </w:r>
    </w:p>
    <w:p>
      <w:pPr>
        <w:pStyle w:val="Standard"/>
        <w:spacing w:lineRule="auto" w:line="240" w:before="120" w:after="0"/>
        <w:rPr/>
      </w:pPr>
      <w:r>
        <w:rPr>
          <w:bCs/>
          <w:color w:val="auto"/>
          <w:sz w:val="24"/>
          <w:szCs w:val="24"/>
          <w:lang w:val="pl-PL"/>
        </w:rPr>
        <w:t>oraz na stronie:</w:t>
      </w:r>
      <w:r>
        <w:rPr>
          <w:color w:val="auto"/>
          <w:sz w:val="24"/>
          <w:szCs w:val="24"/>
          <w:lang w:val="pl-PL"/>
        </w:rPr>
        <w:t xml:space="preserve"> </w:t>
      </w:r>
      <w:hyperlink r:id="rId5">
        <w:r>
          <w:rPr>
            <w:bCs/>
            <w:color w:val="auto"/>
            <w:sz w:val="24"/>
            <w:szCs w:val="24"/>
            <w:u w:val="single"/>
            <w:lang w:val="pl-PL"/>
          </w:rPr>
          <w:t>https://www.pomorskie.kas.gov.pl/urzad-skarbowy-</w:t>
        </w:r>
      </w:hyperlink>
      <w:r>
        <w:rPr>
          <w:rStyle w:val="Czeinternetowe"/>
          <w:bCs/>
          <w:color w:val="auto"/>
          <w:sz w:val="24"/>
          <w:szCs w:val="24"/>
          <w:lang w:val="pl-PL"/>
        </w:rPr>
        <w:t>w-pucku</w:t>
      </w:r>
      <w:r>
        <w:rPr>
          <w:bCs/>
          <w:color w:val="auto"/>
          <w:sz w:val="24"/>
          <w:szCs w:val="24"/>
          <w:lang w:val="pl-PL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color w:val="auto"/>
          <w:lang w:val="pl-PL" w:eastAsia="pl-PL"/>
        </w:rPr>
        <w:t xml:space="preserve">Przepisy prawa: 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left="3572" w:right="0" w:hanging="3572"/>
        <w:jc w:val="both"/>
        <w:rPr>
          <w:rFonts w:ascii="Calibri" w:hAnsi="Calibri"/>
        </w:rPr>
      </w:pP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en-US" w:bidi="ar-SA"/>
        </w:rPr>
        <w:t xml:space="preserve">Art. 110w §1 i § 3, art. 110z, art. 111, art. 111d </w:t>
      </w: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ustawy z dnia 17 czerwca 1966 r. o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</w:rPr>
      </w:pP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postępowaniu egzekucyjnym w administracji (Dz.U. z 2025 r. poz. 132).</w:t>
      </w:r>
    </w:p>
    <w:sectPr>
      <w:footerReference w:type="default" r:id="rId6"/>
      <w:footerReference w:type="first" r:id="rId7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www.pomorskie.kas.gov.pl/izba-administracji-skarbowej-w-gdansku/organizacja/ochrona-danych-osobowych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sz w:val="17"/>
      <w:u w:val="none"/>
    </w:rPr>
  </w:style>
  <w:style w:type="character" w:styleId="TeksttreciPogrubienie">
    <w:name w:val="Tekst treści + Pogrubienie"/>
    <w:basedOn w:val="Teksttreci"/>
    <w:qFormat/>
    <w:rPr>
      <w:rFonts w:ascii="Arial" w:hAnsi="Arial"/>
      <w:b/>
      <w:i w:val="false"/>
      <w:caps w:val="false"/>
      <w:smallCaps w:val="false"/>
      <w:strike w:val="false"/>
      <w:dstrike w:val="false"/>
      <w:sz w:val="17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LibreOffice/7.3.0.3$Windows_X86_64 LibreOffice_project/0f246aa12d0eee4a0f7adcefbf7c878fc2238db3</Application>
  <AppVersion>15.0000</AppVersion>
  <Pages>2</Pages>
  <Words>597</Words>
  <Characters>4024</Characters>
  <CharactersWithSpaces>4613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terms:created xsi:type="dcterms:W3CDTF">2025-11-04T11:41:00Z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2025-12-17T09:48:30Z</dcterms:modified>
  <cp:revision>8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2025-12-12</vt:lpwstr>
  </property>
  <property fmtid="{D5CDD505-2E9C-101B-9397-08002B2CF9AE}" pid="3" name="AktualnaDataSlownie">
    <vt:lpwstr>12 grudnia 2025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>$Naczelnik US – linia 12</vt:lpwstr>
  </property>
  <property fmtid="{D5CDD505-2E9C-101B-9397-08002B2CF9AE}" pid="14" name="DaneJednostki13">
    <vt:lpwstr>$Urzędu – linia 13</vt:lpwstr>
  </property>
  <property fmtid="{D5CDD505-2E9C-101B-9397-08002B2CF9AE}" pid="15" name="DaneJednostki14">
    <vt:lpwstr>$w Mieście – linia 14</vt:lpwstr>
  </property>
  <property fmtid="{D5CDD505-2E9C-101B-9397-08002B2CF9AE}" pid="16" name="DaneJednostki15">
    <vt:lpwstr>$RODO – linia 15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MFVisualMarkingsSettings">
    <vt:lpwstr>HeaderAlignment=1;FooterAlignment=1</vt:lpwstr>
  </property>
  <property fmtid="{D5CDD505-2E9C-101B-9397-08002B2CF9AE}" pid="40" name="OpisPisma">
    <vt:lpwstr>Obwieszczenie o pierwszej licytacji nieruchomości dot ZM Głowienka 5871575574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2">
    <vt:lpwstr>PUCK</vt:lpwstr>
  </property>
  <property fmtid="{D5CDD505-2E9C-101B-9397-08002B2CF9AE}" pid="45" name="PolaDodatkowe3">
    <vt:lpwstr>84-100</vt:lpwstr>
  </property>
  <property fmtid="{D5CDD505-2E9C-101B-9397-08002B2CF9AE}" pid="46" name="PolaDodatkowe4">
    <vt:lpwstr>KMDR.E.SZYSTOWSKIEGO</vt:lpwstr>
  </property>
  <property fmtid="{D5CDD505-2E9C-101B-9397-08002B2CF9AE}" pid="47" name="PolaDodatkowe5">
    <vt:lpwstr>18</vt:lpwstr>
  </property>
  <property fmtid="{D5CDD505-2E9C-101B-9397-08002B2CF9AE}" pid="48" name="PolaDodatkowe6">
    <vt:lpwstr>22 330 03 30</vt:lpwstr>
  </property>
  <property fmtid="{D5CDD505-2E9C-101B-9397-08002B2CF9AE}" pid="49" name="PolaDodatkowe7">
    <vt:lpwstr>801 055 055</vt:lpwstr>
  </property>
  <property fmtid="{D5CDD505-2E9C-101B-9397-08002B2CF9AE}" pid="50" name="PolaDodatkowe8">
    <vt:lpwstr>us.puck@mf.gov.pl</vt:lpwstr>
  </property>
  <property fmtid="{D5CDD505-2E9C-101B-9397-08002B2CF9AE}" pid="51" name="PolaDodatkowe9">
    <vt:lpwstr>www.pomorskie.kas.gov.pl/urzad-skarbowy-w-pucku</vt:lpwstr>
  </property>
  <property fmtid="{D5CDD505-2E9C-101B-9397-08002B2CF9AE}" pid="52" name="PrzekazanieDo">
    <vt:lpwstr/>
  </property>
  <property fmtid="{D5CDD505-2E9C-101B-9397-08002B2CF9AE}" pid="53" name="PrzekazanieDoKomorkaPracownika">
    <vt:lpwstr/>
  </property>
  <property fmtid="{D5CDD505-2E9C-101B-9397-08002B2CF9AE}" pid="54" name="PrzekazanieDoStanowisko">
    <vt:lpwstr/>
  </property>
  <property fmtid="{D5CDD505-2E9C-101B-9397-08002B2CF9AE}" pid="55" name="PrzekazanieWgRozdzielnika">
    <vt:lpwstr/>
  </property>
  <property fmtid="{D5CDD505-2E9C-101B-9397-08002B2CF9AE}" pid="56" name="Stanowisko">
    <vt:lpwstr>Starszy inspektor</vt:lpwstr>
  </property>
  <property fmtid="{D5CDD505-2E9C-101B-9397-08002B2CF9AE}" pid="57" name="TrescPisma">
    <vt:lpwstr/>
  </property>
  <property fmtid="{D5CDD505-2E9C-101B-9397-08002B2CF9AE}" pid="58" name="UNPPisma">
    <vt:lpwstr>2215-25-092570</vt:lpwstr>
  </property>
  <property fmtid="{D5CDD505-2E9C-101B-9397-08002B2CF9AE}" pid="59" name="Wydzial">
    <vt:lpwstr>Referat Egzekucji Administracyjnej</vt:lpwstr>
  </property>
  <property fmtid="{D5CDD505-2E9C-101B-9397-08002B2CF9AE}" pid="60" name="ZaakceptowanePrzez">
    <vt:lpwstr>n/d</vt:lpwstr>
  </property>
  <property fmtid="{D5CDD505-2E9C-101B-9397-08002B2CF9AE}" pid="61" name="ZnakPisma">
    <vt:lpwstr>2215-SEE.711.18.14.2022.137</vt:lpwstr>
  </property>
  <property fmtid="{D5CDD505-2E9C-101B-9397-08002B2CF9AE}" pid="62" name="ZnakSprawy">
    <vt:lpwstr>2215-SEE.711.18.14.2022</vt:lpwstr>
  </property>
  <property fmtid="{D5CDD505-2E9C-101B-9397-08002B2CF9AE}" pid="63" name="ZnakSprawy2">
    <vt:lpwstr>Znak sprawy: 2215-SEE.711.18.14.2022</vt:lpwstr>
  </property>
  <property fmtid="{D5CDD505-2E9C-101B-9397-08002B2CF9AE}" pid="64" name="ZnakSprawyPrzedPrzeniesieniem">
    <vt:lpwstr/>
  </property>
  <property fmtid="{D5CDD505-2E9C-101B-9397-08002B2CF9AE}" pid="65" name="adresEMail">
    <vt:lpwstr/>
  </property>
  <property fmtid="{D5CDD505-2E9C-101B-9397-08002B2CF9AE}" pid="66" name="adresImie">
    <vt:lpwstr/>
  </property>
  <property fmtid="{D5CDD505-2E9C-101B-9397-08002B2CF9AE}" pid="67" name="adresKodPocztowy">
    <vt:lpwstr/>
  </property>
  <property fmtid="{D5CDD505-2E9C-101B-9397-08002B2CF9AE}" pid="68" name="adresMiejscowosc">
    <vt:lpwstr/>
  </property>
  <property fmtid="{D5CDD505-2E9C-101B-9397-08002B2CF9AE}" pid="69" name="adresNIP">
    <vt:lpwstr>$NIP</vt:lpwstr>
  </property>
  <property fmtid="{D5CDD505-2E9C-101B-9397-08002B2CF9AE}" pid="70" name="adresNazwa">
    <vt:lpwstr>ZAKŁADY MIĘSNE M.W. GŁOWIENKA SPÓŁKA Z OGRANICZONĄ ODPOWIEDZIALNOŚCIĄ</vt:lpwstr>
  </property>
  <property fmtid="{D5CDD505-2E9C-101B-9397-08002B2CF9AE}" pid="71" name="adresNazwisko">
    <vt:lpwstr/>
  </property>
  <property fmtid="{D5CDD505-2E9C-101B-9397-08002B2CF9AE}" pid="72" name="adresNrDomu">
    <vt:lpwstr/>
  </property>
  <property fmtid="{D5CDD505-2E9C-101B-9397-08002B2CF9AE}" pid="73" name="adresNrLokalu">
    <vt:lpwstr/>
  </property>
  <property fmtid="{D5CDD505-2E9C-101B-9397-08002B2CF9AE}" pid="74" name="adresOddzial">
    <vt:lpwstr/>
  </property>
  <property fmtid="{D5CDD505-2E9C-101B-9397-08002B2CF9AE}" pid="75" name="adresPESEL">
    <vt:lpwstr>$PESEL</vt:lpwstr>
  </property>
  <property fmtid="{D5CDD505-2E9C-101B-9397-08002B2CF9AE}" pid="76" name="adresPoczta">
    <vt:lpwstr/>
  </property>
  <property fmtid="{D5CDD505-2E9C-101B-9397-08002B2CF9AE}" pid="77" name="adresTypUlicy">
    <vt:lpwstr/>
  </property>
  <property fmtid="{D5CDD505-2E9C-101B-9397-08002B2CF9AE}" pid="78" name="adresUlica">
    <vt:lpwstr/>
  </property>
  <property fmtid="{D5CDD505-2E9C-101B-9397-08002B2CF9AE}" pid="79" name="adresaciDW">
    <vt:lpwstr>KRZYSZTOF GŁOWIENKA 
REPREZENTOWANY PRZEZ RADCĘ PRAWNEGO PIOTRA NAZARUK;BANK POLSKA KASA OPIEKI S.A.
DEPARTAMENT KREDYTÓW NIEREGULARNYCH
BIURO POSTĘPOWAŃ SĄDOWO-EGZEKUCYJNYCH;ALEKSANDER GŁOWIENKA;URZĄD GMINY PUCK;ZAKŁAD UBEZPIECZEŃ SPOŁECZNYCH W GDAŃSKU ODDZIAŁ W GDAŃSKU;DOROTA KOWALCZUK;ENERGA - OBRÓT SPÓŁKA AKCYJNA;POMORSKI URZĄD SKARBOWY W GDAŃSKU;FUNDUSZ GWARANTOWANYCH ŚWIADCZEŃ PRACOWNICZYCH REPREZENTOWANY PRZEZ MARSZAŁKA WOJEWÓDZTWA POMORSKIEGO ZASTĘPOWANY PRZEZ RADCĘ PRAWNEGO MACIEJA KRASNODOMSKIEGO WOJEWÓDZKI URZĄD PRACY W GDAŃSKU</vt:lpwstr>
  </property>
  <property fmtid="{D5CDD505-2E9C-101B-9397-08002B2CF9AE}" pid="80" name="adresaciDW2">
    <vt:lpwstr>KRZYSZTOF GŁOWIENKA 
REPREZENTOWANY PRZEZ RADCĘ PRAWNEGO PIOTRA NAZARUK, HERMANA 4 \ 17, 02-496 WARSZAWA;  BANK POLSKA KASA OPIEKI S.A.
DEPARTAMENT KREDYTÓW NIEREGULARNYCH
BIURO POSTĘPOWAŃ SĄDOWO-EGZEKUCYJNYCH, ŻUBRA 1, 01-066 WARSZAWA;  ALEKSANDER GŁOWIENKA, JĘCZMIENNA 6A, 84-240 REDA;  URZĄD GMINY PUCK, 10-GO LUTEGO 29, 84-100 PUCK;  ZAKŁAD UBEZPIECZEŃ SPOŁECZNYCH W GDAŃSKU ODDZIAŁ W GDAŃSKU, CHMIELNA 33, 80-748 GDAŃSK;  DOROTA KOWALCZUK, SADOWA 11/21/34, 21-500 BIAŁA PODLASKA;  ENERGA - OBRÓT SPÓŁKA AKCYJNA, AL. GRUNWALDZKA 472, 80-309 GDAŃSK;  POMORSKI URZĄD SKARBOWY W GDAŃSKU, ul. ŻYTNIA 4/6, 80-749 GDAŃSK;  FUNDUSZ GWARANTOWANYCH ŚWIADCZEŃ PRACOWNICZYCH REPREZENTOWANY PRZEZ MARSZAŁKA WOJEWÓDZTWA POMORSKIEGO ZASTĘPOWANY PRZEZ RADCĘ PRAWNEGO MACIEJA KRASNODOMSKIEGO WOJEWÓDZKI URZĄD PRACY W GDAŃSKU, PODWALE PRZEDMIEJSKIE 30, 80-824 GDAŃSK;  </vt:lpwstr>
  </property>
</Properties>
</file>