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STAROGARDZIE GDAŃSKIM </w:t>
      </w:r>
    </w:p>
    <w:p>
      <w:pPr>
        <w:pStyle w:val="Normal"/>
        <w:spacing w:before="0" w:after="0"/>
        <w:contextualSpacing/>
        <w:rPr>
          <w:rFonts w:ascii="Lato" w:hAnsi="Lato" w:cs="Calibri" w:cstheme="minorHAnsi"/>
        </w:rPr>
      </w:pPr>
      <w:r>
        <w:rPr>
          <w:rFonts w:cs="Calibri" w:cstheme="minorHAnsi"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 w:cs="Calibri" w:cstheme="minorHAnsi"/>
          <w:color w:val="000000" w:themeColor="text1"/>
          <w:sz w:val="24"/>
          <w:szCs w:val="24"/>
        </w:rPr>
      </w:pPr>
      <w:r>
        <mc:AlternateContent>
          <mc:Choice Requires="wps">
            <w:drawing>
              <wp:anchor behindDoc="0" distT="5080" distB="52705" distL="128270" distR="92075" simplePos="0" locked="0" layoutInCell="0" allowOverlap="0" relativeHeight="8" wp14:anchorId="4989C0F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4989C0F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ascii="Lato" w:hAnsi="Lato" w:cstheme="minorHAnsi"/>
          <w:color w:val="000000" w:themeColor="text1"/>
          <w:sz w:val="24"/>
          <w:szCs w:val="24"/>
        </w:rPr>
        <w:t>Starogard Gdański, 18 grudnia 2025 roku</w:t>
      </w:r>
    </w:p>
    <w:p>
      <w:pPr>
        <w:pStyle w:val="TytupismaKAS"/>
        <w:jc w:val="center"/>
        <w:rPr>
          <w:rFonts w:ascii="Lato" w:hAnsi="Lato"/>
          <w:b w:val="false"/>
          <w:color w:val="000000" w:themeColor="text1"/>
        </w:rPr>
      </w:pPr>
      <w:r>
        <w:rPr>
          <w:rFonts w:ascii="Lato" w:hAnsi="Lato"/>
          <w:b w:val="false"/>
          <w:color w:val="000000" w:themeColor="text1"/>
        </w:rPr>
      </w:r>
    </w:p>
    <w:p>
      <w:pPr>
        <w:pStyle w:val="TytupismaKAS"/>
        <w:jc w:val="center"/>
        <w:rPr>
          <w:rFonts w:ascii="Lato" w:hAnsi="Lato"/>
          <w:bCs/>
          <w:color w:val="000000" w:themeColor="text1"/>
        </w:rPr>
      </w:pPr>
      <w:r>
        <w:rPr>
          <w:rFonts w:ascii="Lato" w:hAnsi="Lato"/>
          <w:bCs/>
          <w:color w:val="000000" w:themeColor="text1"/>
        </w:rPr>
        <w:t xml:space="preserve">OBWIESZCZENIE O </w:t>
      </w:r>
      <w:r>
        <w:rPr>
          <w:rFonts w:ascii="Lato" w:hAnsi="Lato"/>
          <w:bCs/>
          <w:color w:val="000000" w:themeColor="text1"/>
        </w:rPr>
        <w:t>DRUGI</w:t>
      </w:r>
      <w:r>
        <w:rPr>
          <w:rFonts w:ascii="Lato" w:hAnsi="Lato"/>
          <w:bCs/>
          <w:color w:val="000000" w:themeColor="text1"/>
        </w:rPr>
        <w:t>EJ LICYTACJI RUCHOMOŚCI</w:t>
      </w:r>
    </w:p>
    <w:p>
      <w:pPr>
        <w:pStyle w:val="Standard"/>
        <w:spacing w:lineRule="auto" w:line="240" w:before="288" w:after="0"/>
        <w:rPr>
          <w:rFonts w:ascii="Lato" w:hAnsi="Lato" w:cs="Calibri" w:cstheme="minorHAnsi"/>
          <w:color w:val="000000" w:themeColor="text1"/>
          <w:sz w:val="24"/>
          <w:szCs w:val="24"/>
        </w:rPr>
      </w:pPr>
      <w:r>
        <w:rPr>
          <w:rFonts w:cs="Calibri" w:ascii="Lato" w:hAnsi="Lato" w:cstheme="minorHAnsi"/>
          <w:color w:val="000000" w:themeColor="text1"/>
          <w:sz w:val="24"/>
          <w:szCs w:val="24"/>
        </w:rPr>
        <w:t>Szanowni Państwo,</w:t>
      </w:r>
    </w:p>
    <w:p>
      <w:pPr>
        <w:pStyle w:val="Standard"/>
        <w:spacing w:lineRule="auto" w:line="240" w:before="117" w:after="0"/>
        <w:rPr>
          <w:rFonts w:ascii="Lato" w:hAnsi="Lato" w:cs="Calibri" w:cstheme="minorHAnsi"/>
          <w:color w:val="000000" w:themeColor="text1"/>
          <w:sz w:val="24"/>
          <w:szCs w:val="24"/>
        </w:rPr>
      </w:pPr>
      <w:r>
        <w:rPr>
          <w:rFonts w:cs="Calibri" w:ascii="Lato" w:hAnsi="Lato" w:cstheme="minorHAnsi"/>
          <w:color w:val="000000" w:themeColor="text1"/>
          <w:sz w:val="24"/>
          <w:szCs w:val="24"/>
        </w:rPr>
        <w:t>informuję o sprzedaży w drodze licytacji publicznej ruchomości, co do której Sąd Rejonowy w Starogardzie Gdańskim orzekł przepadek na rzecz Skarbu Państwa</w:t>
      </w:r>
    </w:p>
    <w:p>
      <w:pPr>
        <w:pStyle w:val="Normal"/>
        <w:spacing w:before="240" w:after="240"/>
        <w:rPr>
          <w:rFonts w:ascii="Lato" w:hAnsi="Lato" w:cs="Calibri" w:cstheme="minorHAnsi"/>
          <w:color w:val="000000" w:themeColor="text1"/>
          <w:sz w:val="24"/>
          <w:szCs w:val="24"/>
          <w:lang w:val="fr-FR"/>
        </w:rPr>
      </w:pPr>
      <w:r>
        <w:rPr>
          <w:rStyle w:val="Nagwek2Znak"/>
          <w:rFonts w:cs="Calibri" w:ascii="Lato" w:hAnsi="Lato" w:cstheme="minorHAnsi"/>
          <w:bCs/>
          <w:color w:val="000000" w:themeColor="text1"/>
        </w:rPr>
        <w:t>Termin</w:t>
      </w:r>
      <w:r>
        <w:rPr>
          <w:rStyle w:val="Nagwek2Znak"/>
          <w:rFonts w:cs="Calibri" w:ascii="Lato" w:hAnsi="Lato" w:cstheme="minorHAnsi"/>
          <w:b w:val="false"/>
          <w:color w:val="000000" w:themeColor="text1"/>
        </w:rPr>
        <w:tab/>
      </w:r>
      <w:r>
        <w:rPr>
          <w:rStyle w:val="Nagwek2Znak"/>
          <w:rFonts w:cs="Calibri" w:ascii="Lato" w:hAnsi="Lato" w:cstheme="minorHAnsi"/>
          <w:b w:val="false"/>
          <w:color w:val="000000" w:themeColor="text1"/>
          <w:sz w:val="24"/>
          <w:szCs w:val="24"/>
        </w:rPr>
        <w:tab/>
        <w:t>30.12.2025, godz. 9</w:t>
      </w:r>
      <w:r>
        <w:rPr>
          <w:rStyle w:val="Nagwek2Znak"/>
          <w:rFonts w:cs="Calibri" w:ascii="Lato" w:hAnsi="Lato" w:cstheme="minorHAnsi"/>
          <w:b w:val="false"/>
          <w:color w:val="000000" w:themeColor="text1"/>
          <w:sz w:val="24"/>
          <w:szCs w:val="24"/>
          <w:vertAlign w:val="superscript"/>
        </w:rPr>
        <w:t>00</w:t>
      </w:r>
    </w:p>
    <w:p>
      <w:pPr>
        <w:pStyle w:val="Normal"/>
        <w:spacing w:before="240" w:after="240"/>
        <w:ind w:left="1418" w:hanging="1418"/>
        <w:rPr>
          <w:rFonts w:ascii="Lato" w:hAnsi="Lato" w:cs="Calibri" w:cstheme="minorHAnsi"/>
          <w:color w:val="000000" w:themeColor="text1"/>
          <w:sz w:val="24"/>
          <w:szCs w:val="24"/>
          <w:lang w:val="fr-FR"/>
        </w:rPr>
      </w:pPr>
      <w:r>
        <w:rPr>
          <w:rStyle w:val="Nagwek2Znak"/>
          <w:rFonts w:cs="Calibri" w:ascii="Lato" w:hAnsi="Lato" w:cstheme="minorHAnsi"/>
          <w:bCs/>
          <w:color w:val="000000" w:themeColor="text1"/>
        </w:rPr>
        <w:t>Miejsce</w:t>
      </w:r>
      <w:r>
        <w:rPr>
          <w:rStyle w:val="Nagwek2Znak"/>
          <w:rFonts w:cs="Calibri" w:ascii="Lato" w:hAnsi="Lato" w:cstheme="minorHAnsi"/>
          <w:b w:val="false"/>
          <w:color w:val="000000" w:themeColor="text1"/>
        </w:rPr>
        <w:tab/>
      </w:r>
      <w:r>
        <w:rPr>
          <w:rFonts w:cs="Calibri" w:ascii="Lato" w:hAnsi="Lato" w:cstheme="minorHAnsi"/>
          <w:color w:val="000000" w:themeColor="text1"/>
          <w:sz w:val="24"/>
          <w:szCs w:val="24"/>
          <w:lang w:val="fr-FR"/>
        </w:rPr>
        <w:tab/>
        <w:t xml:space="preserve">ul. Lubichowska 4, 83 - 200 Starogard Gdański                                                                                       </w:t>
      </w:r>
      <w:r>
        <w:rPr>
          <w:rFonts w:cs="Calibri" w:ascii="Lato" w:hAnsi="Lato" w:cstheme="minorHAnsi"/>
          <w:color w:val="000000" w:themeColor="text1"/>
          <w:sz w:val="24"/>
          <w:szCs w:val="24"/>
        </w:rPr>
        <w:t>(budynek Urzędu Skarbowego)</w:t>
      </w:r>
    </w:p>
    <w:p>
      <w:pPr>
        <w:pStyle w:val="Nagwek2"/>
        <w:spacing w:lineRule="auto" w:line="240"/>
        <w:rPr>
          <w:rFonts w:ascii="Lato" w:hAnsi="Lato" w:cs="Calibri" w:cstheme="minorHAnsi"/>
          <w:color w:val="auto"/>
        </w:rPr>
      </w:pPr>
      <w:r>
        <w:rPr>
          <w:rFonts w:cs="Calibri" w:ascii="Lato" w:hAnsi="Lato" w:cstheme="minorHAnsi"/>
          <w:color w:val="auto"/>
        </w:rPr>
        <w:t>Sprzedawane ruchomości</w:t>
      </w:r>
    </w:p>
    <w:tbl>
      <w:tblPr>
        <w:tblW w:w="878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6"/>
        <w:gridCol w:w="4059"/>
        <w:gridCol w:w="2040"/>
        <w:gridCol w:w="2053"/>
      </w:tblGrid>
      <w:tr>
        <w:trPr/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Lato" w:hAnsi="Lato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Lato" w:hAnsi="Lato"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Lato" w:hAnsi="Lato" w:cstheme="minorHAnsi"/>
                <w:b/>
                <w:bCs/>
                <w:sz w:val="24"/>
                <w:szCs w:val="24"/>
              </w:rPr>
              <w:t>Wartość szacunkowa (zł)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ascii="Lato" w:hAnsi="Lato" w:cstheme="minorHAnsi"/>
                <w:b/>
                <w:bCs/>
                <w:sz w:val="24"/>
                <w:szCs w:val="24"/>
              </w:rPr>
              <w:t>Cena wywołania (zł)</w:t>
            </w:r>
          </w:p>
        </w:tc>
      </w:tr>
      <w:tr>
        <w:trPr>
          <w:trHeight w:val="553" w:hRule="atLeast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Motorower TGB 101S ORION </w:t>
            </w:r>
          </w:p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rok prod. 2006</w:t>
            </w:r>
          </w:p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nr rej. GST 49KM</w:t>
            </w:r>
          </w:p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nr VIN RFCBH1BHA6Y627975</w:t>
            </w:r>
          </w:p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data pierwszej rejestracji:                         2006-08-24</w:t>
            </w:r>
          </w:p>
          <w:p>
            <w:pPr>
              <w:pStyle w:val="Normal"/>
              <w:widowControl w:val="false"/>
              <w:spacing w:lineRule="auto" w:line="240" w:before="0" w:after="160"/>
              <w:jc w:val="left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(brak możliwości uruchomienia ze względu na uszkodzoną stacyjkę)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16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1000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500</w:t>
            </w:r>
          </w:p>
        </w:tc>
      </w:tr>
    </w:tbl>
    <w:p>
      <w:pPr>
        <w:pStyle w:val="Tretekstu"/>
        <w:rPr>
          <w:rFonts w:ascii="Lato" w:hAnsi="Lato" w:cs="Calibri" w:cstheme="minorHAnsi"/>
        </w:rPr>
      </w:pPr>
      <w:r>
        <w:rPr>
          <w:rFonts w:cs="Calibri" w:cstheme="minorHAnsi" w:ascii="Lato" w:hAnsi="Lato"/>
        </w:rPr>
      </w:r>
    </w:p>
    <w:p>
      <w:pPr>
        <w:pStyle w:val="Standard"/>
        <w:spacing w:lineRule="auto" w:line="240" w:before="6" w:after="0"/>
        <w:jc w:val="both"/>
        <w:rPr>
          <w:rFonts w:ascii="Lato" w:hAnsi="Lato" w:cs="Calibri" w:cstheme="minorHAnsi"/>
          <w:b/>
          <w:bCs/>
          <w:sz w:val="28"/>
          <w:szCs w:val="28"/>
        </w:rPr>
      </w:pPr>
      <w:r>
        <w:rPr>
          <w:rFonts w:cs="Calibri" w:ascii="Lato" w:hAnsi="Lato" w:cstheme="minorHAnsi"/>
          <w:b/>
          <w:bCs/>
          <w:sz w:val="28"/>
          <w:szCs w:val="28"/>
        </w:rPr>
        <w:t>Termin i miejsce oglądania ruchomości</w:t>
      </w:r>
    </w:p>
    <w:p>
      <w:pPr>
        <w:pStyle w:val="Normal"/>
        <w:suppressAutoHyphens w:val="false"/>
        <w:spacing w:lineRule="auto" w:line="240" w:before="240" w:after="0"/>
        <w:rPr>
          <w:rFonts w:ascii="Lato" w:hAnsi="Lato" w:cs="Lato"/>
        </w:rPr>
      </w:pPr>
      <w:r>
        <w:rPr>
          <w:rFonts w:cs="Calibri" w:ascii="Lato" w:hAnsi="Lato" w:cstheme="minorHAnsi"/>
          <w:bCs/>
          <w:sz w:val="24"/>
          <w:szCs w:val="24"/>
        </w:rPr>
        <w:t xml:space="preserve">Ruchomości można oglądać dnia 30.12.2025 </w:t>
      </w:r>
      <w:r>
        <w:rPr>
          <w:rFonts w:cs="Lato" w:ascii="Lato" w:hAnsi="Lato"/>
          <w:sz w:val="24"/>
          <w:szCs w:val="24"/>
        </w:rPr>
        <w:t>w godz. 8</w:t>
      </w:r>
      <w:r>
        <w:rPr>
          <w:rFonts w:cs="Lato" w:ascii="Lato" w:hAnsi="Lato"/>
          <w:sz w:val="24"/>
          <w:szCs w:val="24"/>
          <w:vertAlign w:val="superscript"/>
        </w:rPr>
        <w:t>30</w:t>
      </w:r>
      <w:r>
        <w:rPr>
          <w:rFonts w:cs="Lato" w:ascii="Lato" w:hAnsi="Lato"/>
          <w:sz w:val="24"/>
          <w:szCs w:val="24"/>
        </w:rPr>
        <w:t>-8</w:t>
      </w:r>
      <w:r>
        <w:rPr>
          <w:rFonts w:cs="Lato" w:ascii="Lato" w:hAnsi="Lato"/>
          <w:sz w:val="24"/>
          <w:szCs w:val="24"/>
          <w:vertAlign w:val="superscript"/>
        </w:rPr>
        <w:t>45</w:t>
      </w:r>
      <w:r>
        <w:rPr>
          <w:rFonts w:cs="Lato" w:ascii="Lato" w:hAnsi="Lato"/>
          <w:sz w:val="24"/>
          <w:szCs w:val="24"/>
        </w:rPr>
        <w:t xml:space="preserve"> w miejscu prowadzenia                licytacji.</w:t>
      </w:r>
    </w:p>
    <w:p>
      <w:pPr>
        <w:pStyle w:val="Standard"/>
        <w:spacing w:lineRule="auto" w:line="240" w:before="120" w:after="160"/>
        <w:jc w:val="both"/>
        <w:rPr>
          <w:rFonts w:ascii="Lato" w:hAnsi="Lato" w:cs="Calibri" w:cstheme="minorHAnsi"/>
          <w:b/>
          <w:bCs/>
          <w:sz w:val="28"/>
          <w:szCs w:val="28"/>
        </w:rPr>
      </w:pPr>
      <w:r>
        <w:rPr>
          <w:rFonts w:cs="Calibri" w:ascii="Lato" w:hAnsi="Lato" w:cstheme="minorHAnsi"/>
          <w:b/>
          <w:bCs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 w:cs="Calibri" w:cstheme="minorHAnsi"/>
          <w:bCs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Wadium nie jest wymagane.</w:t>
      </w:r>
    </w:p>
    <w:p>
      <w:pPr>
        <w:pStyle w:val="Standard"/>
        <w:spacing w:lineRule="auto" w:line="276" w:before="120" w:after="0"/>
        <w:rPr>
          <w:rFonts w:ascii="Lato" w:hAnsi="Lato" w:cs="Calibri" w:cstheme="minorHAnsi"/>
          <w:bCs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Sprzedaż nie jest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 w:cs="Calibri" w:cstheme="minorHAnsi"/>
          <w:bCs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Nabywca obowiązany jest niezwłocznie po udzieleniu mu przybicia wpłacić cenę nabycia w całości albo w części równej co najmniej cenie wywołania bezgotówkowo za  pośrednictwem terminala płatniczego.  Jeżeli ceny tej nabywca nie uiści, traci prawo wynikłe z przybicia i nie może uczestniczyć w licytacji tej samej ruchomości. Pozostałą do zapłaty część wylicytowanej kwoty należy wpłacić niezwłocznie na rachunek bankowy organu egzekucyjnego 70 1010 1140 0144 4313 9120 0000, nie później niż w dniu następującym po dniu licytacji.</w:t>
      </w:r>
    </w:p>
    <w:p>
      <w:pPr>
        <w:pStyle w:val="Standard"/>
        <w:spacing w:lineRule="auto" w:line="276" w:before="120" w:after="0"/>
        <w:rPr>
          <w:rFonts w:ascii="Lato" w:hAnsi="Lato" w:cs="Calibri" w:cstheme="minorHAnsi"/>
          <w:bCs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Nabywca ruchomości odbiera nabytą ruchomość niezwłocznie w dniu zapłaty ceny nabycia tej ruchomości. W przypadku nieodebrania ruchomości organ egzekucyjny doręcza nabywcy 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>
      <w:pPr>
        <w:pStyle w:val="Standard"/>
        <w:spacing w:lineRule="auto" w:line="240" w:before="120" w:after="0"/>
        <w:jc w:val="both"/>
        <w:rPr>
          <w:rFonts w:ascii="Lato" w:hAnsi="Lato" w:cs="Calibri" w:cstheme="minorHAnsi"/>
          <w:bCs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Szczegółowe informacje można uzyskać w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 w:cs="Calibri" w:cstheme="minorHAnsi"/>
          <w:sz w:val="24"/>
          <w:szCs w:val="24"/>
        </w:rPr>
      </w:pPr>
      <w:r>
        <w:rPr>
          <w:rFonts w:cs="Calibri" w:cstheme="minorHAnsi" w:ascii="Lato" w:hAnsi="Lato"/>
          <w:sz w:val="24"/>
          <w:szCs w:val="24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</w:rPr>
        <w:t>(058) 530 75 08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us.starogard.gdanski@mf.gov.pl</w:t>
      </w:r>
    </w:p>
    <w:p>
      <w:pPr>
        <w:pStyle w:val="Standard"/>
        <w:spacing w:lineRule="auto" w:line="240" w:before="120" w:after="0"/>
        <w:rPr>
          <w:rFonts w:ascii="Lato" w:hAnsi="Lato" w:cs="Calibri" w:cstheme="minorHAnsi"/>
          <w:sz w:val="24"/>
          <w:szCs w:val="24"/>
        </w:rPr>
      </w:pPr>
      <w:r>
        <w:rPr>
          <w:rFonts w:cs="Calibri" w:ascii="Lato" w:hAnsi="Lato" w:cstheme="minorHAnsi"/>
          <w:bCs/>
          <w:sz w:val="24"/>
          <w:szCs w:val="24"/>
        </w:rPr>
        <w:t>oraz na stronie:</w:t>
      </w:r>
      <w:r>
        <w:rPr>
          <w:rFonts w:cs="Calibri" w:ascii="Lato" w:hAnsi="Lato" w:cstheme="minorHAnsi"/>
          <w:sz w:val="24"/>
          <w:szCs w:val="24"/>
        </w:rPr>
        <w:t xml:space="preserve"> </w:t>
      </w:r>
      <w:hyperlink r:id="rId5">
        <w:r>
          <w:rPr>
            <w:rStyle w:val="Czeinternetowe"/>
            <w:rFonts w:cs="Calibri" w:ascii="Lato" w:hAnsi="Lato" w:cstheme="minorHAnsi"/>
            <w:bCs/>
            <w:color w:val="auto"/>
            <w:sz w:val="24"/>
            <w:szCs w:val="24"/>
          </w:rPr>
          <w:t>https://www.pomorskie.kas.gov.pl/urzad-skarbowy-w-starogardzie-gdanskim</w:t>
        </w:r>
      </w:hyperlink>
      <w:r>
        <w:rPr>
          <w:rFonts w:cs="Calibri" w:ascii="Lato" w:hAnsi="Lato" w:cstheme="minorHAnsi"/>
          <w:bCs/>
          <w:sz w:val="24"/>
          <w:szCs w:val="24"/>
        </w:rPr>
        <w:t>, w zakładce ogłoszenia - obwieszczenia o licytacji.</w:t>
      </w:r>
    </w:p>
    <w:p>
      <w:pPr>
        <w:pStyle w:val="RdtytuKAS"/>
        <w:rPr>
          <w:rFonts w:ascii="Lato" w:hAnsi="Lato"/>
          <w:color w:val="auto"/>
          <w:lang w:eastAsia="pl-PL"/>
        </w:rPr>
      </w:pPr>
      <w:r>
        <w:rPr>
          <w:rFonts w:ascii="Lato" w:hAnsi="Lato"/>
          <w:color w:val="auto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 administracji (Dz.U. z 2025r. poz. 132)</w:t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6E22253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05pt;height:24.1pt;mso-wrap-style:square;v-text-anchor:top;mso-position-vertical:top" wp14:anchorId="6E22253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0EC74D6C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7pt;height:24.1pt;mso-wrap-style:square;v-text-anchor:top;mso-position-vertical:top" wp14:anchorId="0EC74D6C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 w:val="16"/>
        <w:szCs w:val="16"/>
        <w:lang w:val="en-US"/>
      </w:rPr>
      <w:t xml:space="preserve">e-mail: us.starogard.gdanski@mf.gov.pl </w:t>
    </w:r>
    <w:r>
      <w:rPr>
        <w:rFonts w:cs="Calibri"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ePUAP /b56mr2u6ih/SkrytkaESP </w:t>
    </w:r>
    <w:r>
      <w:rPr>
        <w:rFonts w:cs="Calibri" w:cstheme="minorHAnsi"/>
        <w:sz w:val="16"/>
        <w:szCs w:val="16"/>
        <w:lang w:val="en-US"/>
      </w:rPr>
      <w:t>●</w:t>
    </w:r>
    <w:r>
      <w:rPr>
        <w:rFonts w:cs="Calibri"/>
        <w:sz w:val="16"/>
        <w:szCs w:val="16"/>
        <w:lang w:val="en-US"/>
      </w:rPr>
      <w:t xml:space="preserve"> http://www.pomorskie.kas.gov.pl/urzad-skarbowy-w-starogardzie-gdanskim</w:t>
    </w:r>
  </w:p>
  <w:p>
    <w:pPr>
      <w:pStyle w:val="StopkaKAS"/>
      <w:rPr>
        <w:rFonts w:cs="Calibri"/>
        <w:sz w:val="16"/>
        <w:szCs w:val="16"/>
      </w:rPr>
    </w:pPr>
    <w:r>
      <w:rPr>
        <w:rFonts w:cs="Calibri"/>
        <w:sz w:val="16"/>
        <w:szCs w:val="16"/>
      </w:rPr>
      <w:t>Urząd Skarbowy w Starogardzie Gdańskim, ul. Lubichowska 4, 83-200 Starogard Gdański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Hyperlink"/>
    <w:basedOn w:val="DefaultParagraphFont"/>
    <w:uiPriority w:val="99"/>
    <w:unhideWhenUsed/>
    <w:rsid w:val="00f82a89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2a89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urzad-skarbowy-w-starogardzie-gdanski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Application>LibreOffice/7.5.4.2$Windows_X86_64 LibreOffice_project/36ccfdc35048b057fd9854c757a8b67ec53977b6</Application>
  <AppVersion>15.0000</AppVersion>
  <Pages>2</Pages>
  <Words>350</Words>
  <Characters>2332</Characters>
  <CharactersWithSpaces>2777</CharactersWithSpaces>
  <Paragraphs>41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2025-04-11T09:51:00Z</dcterms:created>
  <dc:creator>Pietrucha Monika;Staszak Anetta;Urbala Andrzej</dc:creator>
  <dc:description/>
  <dc:language>pl-PL</dc:language>
  <cp:lastModifiedBy/>
  <cp:lastPrinted>2025-12-18T12:46:37Z</cp:lastPrinted>
  <dcterms:modified xsi:type="dcterms:W3CDTF">2025-12-18T12:58:01Z</dcterms:modified>
  <cp:revision>24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MFVisualMarkingsSettings">
    <vt:lpwstr>HeaderAlignment=1;FooterAlignment=1</vt:lpwstr>
  </property>
  <property fmtid="{D5CDD505-2E9C-101B-9397-08002B2CF9AE}" pid="30" name="Stanowisko">
    <vt:lpwstr>$Stanowisko</vt:lpwstr>
  </property>
  <property fmtid="{D5CDD505-2E9C-101B-9397-08002B2CF9AE}" pid="31" name="TrescPisma">
    <vt:lpwstr>$Treść Pisma</vt:lpwstr>
  </property>
  <property fmtid="{D5CDD505-2E9C-101B-9397-08002B2CF9AE}" pid="32" name="UNPPisma">
    <vt:lpwstr>$UNP Pisma</vt:lpwstr>
  </property>
  <property fmtid="{D5CDD505-2E9C-101B-9397-08002B2CF9AE}" pid="33" name="ZnakSprawy">
    <vt:lpwstr>$Znak Sprawy</vt:lpwstr>
  </property>
  <property fmtid="{D5CDD505-2E9C-101B-9397-08002B2CF9AE}" pid="34" name="adresImie">
    <vt:lpwstr>$Imię adresata</vt:lpwstr>
  </property>
  <property fmtid="{D5CDD505-2E9C-101B-9397-08002B2CF9AE}" pid="35" name="adresKodPocztowy">
    <vt:lpwstr>$Kod Pocztowy</vt:lpwstr>
  </property>
  <property fmtid="{D5CDD505-2E9C-101B-9397-08002B2CF9AE}" pid="36" name="adresMiejscowosc">
    <vt:lpwstr>$Miejscowość</vt:lpwstr>
  </property>
  <property fmtid="{D5CDD505-2E9C-101B-9397-08002B2CF9AE}" pid="37" name="adresNIP">
    <vt:lpwstr>$NIP</vt:lpwstr>
  </property>
  <property fmtid="{D5CDD505-2E9C-101B-9397-08002B2CF9AE}" pid="38" name="adresNazwa">
    <vt:lpwstr>$Nazwa adresata</vt:lpwstr>
  </property>
  <property fmtid="{D5CDD505-2E9C-101B-9397-08002B2CF9AE}" pid="39" name="adresNazwisko">
    <vt:lpwstr>$Nazwisko adresata</vt:lpwstr>
  </property>
  <property fmtid="{D5CDD505-2E9C-101B-9397-08002B2CF9AE}" pid="40" name="adresNrDomu">
    <vt:lpwstr>$Nr Domu</vt:lpwstr>
  </property>
  <property fmtid="{D5CDD505-2E9C-101B-9397-08002B2CF9AE}" pid="41" name="adresNrLokalu">
    <vt:lpwstr>$Nr Lokalu</vt:lpwstr>
  </property>
  <property fmtid="{D5CDD505-2E9C-101B-9397-08002B2CF9AE}" pid="42" name="adresPESEL">
    <vt:lpwstr>$PESEL</vt:lpwstr>
  </property>
  <property fmtid="{D5CDD505-2E9C-101B-9397-08002B2CF9AE}" pid="43" name="adresUlica">
    <vt:lpwstr>$Ulica</vt:lpwstr>
  </property>
</Properties>
</file>