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6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left="1418" w:hanging="0"/>
        <w:contextualSpacing/>
        <w:rPr>
          <w:rFonts w:ascii="Lato" w:hAnsi="Lato" w:cs="Calibri" w:cstheme="minorHAnsi"/>
          <w:b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1280" distB="0" distL="198120" distR="0" simplePos="0" locked="0" layoutInCell="0" allowOverlap="0" relativeHeight="6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7705" cy="1270"/>
                <wp:effectExtent l="0" t="0" r="31750" b="190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72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0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 w:themeShade="bf"/>
        </w:rPr>
        <w:t xml:space="preserve">Kartuzy, 19 grudnia </w:t>
      </w:r>
      <w:r>
        <w:rPr>
          <w:rFonts w:ascii="Lato" w:hAnsi="Lato"/>
          <w:i w:val="false"/>
          <w:iCs w:val="false"/>
          <w:color w:val="000000"/>
        </w:rPr>
        <w:t>2025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>OBWIESZCZENIE O PIERWSZEJ LICYTACJI RUCHOMOŚCI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Standard"/>
        <w:spacing w:lineRule="auto" w:line="276" w:before="0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pierwszej licytacji publicznej ruchomości należącej </w:t>
      </w:r>
    </w:p>
    <w:p>
      <w:pPr>
        <w:pStyle w:val="Standard"/>
        <w:spacing w:lineRule="auto" w:line="276" w:before="0" w:after="0"/>
        <w:rPr/>
      </w:pPr>
      <w:r>
        <w:rPr>
          <w:rFonts w:ascii="Lato" w:hAnsi="Lato"/>
          <w:bCs/>
          <w:sz w:val="24"/>
          <w:szCs w:val="24"/>
        </w:rPr>
        <w:t xml:space="preserve">do PPB SERVICE SP. Z O.O.                                      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8.01.2026 rok , godz. 11.00 </w:t>
      </w:r>
    </w:p>
    <w:p>
      <w:pPr>
        <w:pStyle w:val="Normal"/>
        <w:spacing w:before="240" w:after="240"/>
        <w:ind w:left="1418" w:hanging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 w:themeShade="bf"/>
          <w:sz w:val="24"/>
          <w:szCs w:val="24"/>
        </w:rPr>
        <w:t xml:space="preserve"> </w:t>
      </w:r>
    </w:p>
    <w:p>
      <w:pPr>
        <w:pStyle w:val="Nagwek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058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4"/>
        <w:gridCol w:w="2614"/>
        <w:gridCol w:w="1469"/>
        <w:gridCol w:w="1425"/>
        <w:gridCol w:w="1243"/>
        <w:gridCol w:w="1632"/>
      </w:tblGrid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 (brutto)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numPr>
                <w:ilvl w:val="0"/>
                <w:numId w:val="3"/>
              </w:numPr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left="0" w:right="0" w:hanging="0"/>
              <w:rPr>
                <w:rFonts w:eastAsia="Cambria" w:cs="Times New Roman"/>
                <w:b w:val="false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rPr>
                <w:rFonts w:eastAsia="Cambria" w:cs="Arial"/>
                <w:b w:val="false"/>
                <w:b w:val="false"/>
                <w:bCs/>
                <w:i/>
                <w:i/>
                <w:color w:val="000000"/>
              </w:rPr>
            </w:pPr>
            <w:r>
              <w:rPr>
                <w:rFonts w:eastAsia="Cambria" w:cs="Arial"/>
                <w:b w:val="false"/>
                <w:bCs/>
                <w:i/>
                <w:color w:val="000000"/>
              </w:rPr>
              <w:t>MAN TGX 26.480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rPr>
                <w:rFonts w:eastAsia="Cambria" w:cs="Arial"/>
                <w:b w:val="false"/>
                <w:b w:val="false"/>
                <w:bCs/>
                <w:i/>
                <w:i/>
                <w:color w:val="000000"/>
              </w:rPr>
            </w:pPr>
            <w:r>
              <w:rPr>
                <w:rFonts w:eastAsia="Cambria" w:cs="Arial"/>
                <w:b w:val="false"/>
                <w:bCs/>
                <w:i/>
                <w:color w:val="000000"/>
              </w:rPr>
              <w:t xml:space="preserve">SAMOCHÓD CIĘŻAROWY SKRZYNIA, NR REJ. GD189XU,  </w:t>
            </w:r>
            <w:r>
              <w:rPr>
                <w:rFonts w:eastAsia="Cambria" w:cs="Arial"/>
                <w:b w:val="false"/>
                <w:bCs w:val="false"/>
                <w:i/>
                <w:color w:val="000000"/>
                <w:sz w:val="24"/>
                <w:szCs w:val="24"/>
              </w:rPr>
              <w:t>nr VIN WMA21SZZX9W133719,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rPr>
                <w:rFonts w:eastAsia="Cambria" w:cs="Arial"/>
                <w:b w:val="false"/>
                <w:b w:val="false"/>
                <w:bCs/>
                <w:i/>
                <w:i/>
                <w:color w:val="000000"/>
              </w:rPr>
            </w:pPr>
            <w:r>
              <w:rPr>
                <w:rFonts w:eastAsia="Cambria" w:cs="Arial"/>
                <w:b w:val="false"/>
                <w:bCs w:val="false"/>
                <w:i/>
                <w:color w:val="000000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rPr>
                <w:rFonts w:eastAsia="Cambria" w:cs="Arial"/>
                <w:b w:val="false"/>
                <w:b w:val="false"/>
                <w:bCs/>
                <w:i/>
                <w:i/>
                <w:color w:val="000000"/>
              </w:rPr>
            </w:pPr>
            <w:r>
              <w:rPr>
                <w:rFonts w:eastAsia="Cambria" w:cs="Arial"/>
                <w:b w:val="false"/>
                <w:bCs/>
                <w:i/>
                <w:color w:val="000000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0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62 200,00</w:t>
            </w:r>
          </w:p>
          <w:p>
            <w:pPr>
              <w:pStyle w:val="Standard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zł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46 650,00  zł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6 220,00  zł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Tretekstu"/>
              <w:widowControl w:val="false"/>
              <w:spacing w:lineRule="auto" w:line="240" w:before="0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i/>
                <w:color w:val="000000"/>
                <w:sz w:val="24"/>
                <w:szCs w:val="24"/>
              </w:rPr>
              <w:t>Badanie techniczne ważne do 15.11.2023 r.</w:t>
            </w:r>
          </w:p>
          <w:p>
            <w:pPr>
              <w:pStyle w:val="Tretekstu"/>
              <w:widowControl w:val="false"/>
              <w:spacing w:lineRule="auto" w:line="240" w:before="0" w:after="0"/>
              <w:rPr>
                <w:rFonts w:cs="Arial"/>
                <w:bCs/>
                <w:i/>
                <w:i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i/>
                <w:color w:val="000000"/>
                <w:sz w:val="14"/>
                <w:szCs w:val="14"/>
              </w:rPr>
            </w:r>
          </w:p>
          <w:p>
            <w:pPr>
              <w:pStyle w:val="Tretekstu"/>
              <w:widowControl w:val="false"/>
              <w:spacing w:before="0" w:after="0"/>
              <w:rPr/>
            </w:pPr>
            <w:r>
              <w:rPr/>
              <w:t>Data pierwszej rejestracji pojazdu za granicą: 20.08.2009 r., data pierwszej rejestracji</w:t>
            </w:r>
          </w:p>
          <w:p>
            <w:pPr>
              <w:pStyle w:val="Tretekstu"/>
              <w:widowControl w:val="false"/>
              <w:spacing w:before="0" w:after="0"/>
              <w:rPr/>
            </w:pPr>
            <w:r>
              <w:rPr/>
              <w:t>w kraju: 18.04.2017 r.</w:t>
            </w:r>
          </w:p>
          <w:p>
            <w:pPr>
              <w:pStyle w:val="Tretekstu"/>
              <w:widowControl w:val="false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retekstu"/>
              <w:widowControl w:val="false"/>
              <w:spacing w:before="0" w:after="0"/>
              <w:rPr/>
            </w:pPr>
            <w:r>
              <w:rPr/>
              <w:t>Stan licznika według CEPIK: 1340100 km</w:t>
            </w:r>
          </w:p>
          <w:p>
            <w:pPr>
              <w:pStyle w:val="Tretekstu"/>
              <w:widowControl w:val="false"/>
              <w:spacing w:before="0"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retekstu"/>
              <w:widowControl w:val="false"/>
              <w:spacing w:before="0" w:after="0"/>
              <w:rPr/>
            </w:pPr>
            <w:r>
              <w:rPr/>
              <w:t>Akumulator niesprawny</w:t>
            </w:r>
          </w:p>
          <w:p>
            <w:pPr>
              <w:pStyle w:val="Tretekstu"/>
              <w:widowControl w:val="false"/>
              <w:spacing w:before="0" w:after="120"/>
              <w:rPr>
                <w:rFonts w:cs="Arial"/>
                <w:bCs/>
                <w:i/>
                <w:i/>
                <w:color w:val="000000"/>
                <w:sz w:val="14"/>
                <w:szCs w:val="14"/>
              </w:rPr>
            </w:pPr>
            <w:r>
              <w:rPr>
                <w:rFonts w:cs="Arial"/>
                <w:bCs/>
                <w:i/>
                <w:color w:val="000000"/>
                <w:sz w:val="14"/>
                <w:szCs w:val="14"/>
              </w:rPr>
            </w:r>
          </w:p>
        </w:tc>
      </w:tr>
    </w:tbl>
    <w:p>
      <w:pPr>
        <w:pStyle w:val="RdtytuKAS"/>
        <w:rPr>
          <w:color w:val="000000"/>
        </w:rPr>
      </w:pPr>
      <w:r>
        <w:rPr>
          <w:rFonts w:ascii="Lato" w:hAnsi="Lato"/>
          <w:color w:val="000000"/>
          <w:lang w:eastAsia="pl-PL"/>
        </w:rPr>
        <w:t xml:space="preserve">Wadium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</w:t>
      </w:r>
      <w:r>
        <w:rPr>
          <w:rFonts w:eastAsia="Times New Roman" w:ascii="Lato" w:hAnsi="Lato"/>
          <w:color w:val="000000"/>
          <w:lang w:eastAsia="pl-PL"/>
        </w:rPr>
        <w:t xml:space="preserve">r </w:t>
      </w:r>
      <w:r>
        <w:rPr>
          <w:rFonts w:eastAsia="Times New Roman" w:ascii="Lato" w:hAnsi="Lato"/>
          <w:i/>
          <w:color w:val="000000" w:themeShade="bf"/>
          <w:sz w:val="24"/>
          <w:szCs w:val="24"/>
          <w:lang w:eastAsia="pl-PL"/>
        </w:rPr>
        <w:t>55 1010 1140 0144 0113 9120 0000</w:t>
      </w:r>
      <w:r>
        <w:rPr>
          <w:rFonts w:eastAsia="Times New Roman" w:ascii="Lato" w:hAnsi="Lato"/>
          <w:color w:val="000000"/>
          <w:lang w:eastAsia="pl-PL"/>
        </w:rPr>
        <w:t>. W treści przelewu proszę zamieścić słowo</w:t>
      </w:r>
      <w:r>
        <w:rPr>
          <w:rFonts w:eastAsia="Times New Roman" w:ascii="Lato" w:hAnsi="Lato"/>
          <w:lang w:eastAsia="pl-PL"/>
        </w:rPr>
        <w:t xml:space="preserve"> wadium i oznaczenie ruchomości, której dotyczy - „wadium I licytacja </w:t>
      </w:r>
      <w:r>
        <w:rPr>
          <w:rFonts w:eastAsia="Cambria" w:cs="Arial" w:ascii="Lato" w:hAnsi="Lato"/>
          <w:b w:val="false"/>
          <w:bCs/>
          <w:i/>
          <w:color w:val="000000"/>
          <w:lang w:eastAsia="pl-PL"/>
        </w:rPr>
        <w:t>MAN TGX 26.480 SAMOCHÓD CIĘŻAROWY GD189XU</w:t>
      </w:r>
      <w:r>
        <w:rPr>
          <w:rFonts w:eastAsia="Times New Roman" w:ascii="Lato" w:hAnsi="Lato"/>
          <w:lang w:eastAsia="pl-PL"/>
        </w:rPr>
        <w:t>”.</w:t>
      </w:r>
    </w:p>
    <w:p>
      <w:pPr>
        <w:pStyle w:val="TekstpismaKAS"/>
        <w:rPr/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/>
      </w:pPr>
      <w:bookmarkStart w:id="0" w:name="mip62556468"/>
      <w:bookmarkEnd w:id="0"/>
      <w:r>
        <w:rPr>
          <w:rFonts w:eastAsia="Times New Roman" w:cs="Times New Roman" w:ascii="Lato" w:hAnsi="Lato"/>
          <w:sz w:val="24"/>
          <w:szCs w:val="24"/>
          <w:lang w:eastAsia="pl-PL"/>
        </w:rPr>
        <w:t xml:space="preserve">1) bezgotówkowo przy użyciu terminala płatniczego 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/>
          <w:i/>
          <w:i/>
          <w:color w:val="2F5496" w:themeColor="accent1" w:themeShade="bf"/>
          <w:sz w:val="14"/>
          <w:szCs w:val="14"/>
          <w:lang w:eastAsia="pl-PL"/>
        </w:rPr>
      </w:pPr>
      <w:r>
        <w:rPr>
          <w:rFonts w:ascii="Lato" w:hAnsi="Lato"/>
          <w:i/>
          <w:color w:val="2F5496" w:themeColor="accent1" w:themeShade="bf"/>
          <w:sz w:val="14"/>
          <w:szCs w:val="14"/>
          <w:lang w:eastAsia="pl-PL"/>
        </w:rPr>
      </w:r>
    </w:p>
    <w:p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Ruchomość można oglądać 8.01.2026 roku od godz. 9.00 do godz. 9.30 pod adresem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>ul. Przodkowska 1, 83-300 Grzybno.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/>
          <w:bCs/>
          <w:color w:val="C00000"/>
          <w:sz w:val="14"/>
          <w:szCs w:val="14"/>
        </w:rPr>
      </w:pPr>
      <w:r>
        <w:rPr>
          <w:rFonts w:ascii="Lato" w:hAnsi="Lato"/>
          <w:b/>
          <w:bCs/>
          <w:color w:val="C00000"/>
          <w:sz w:val="14"/>
          <w:szCs w:val="14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>aż</w:t>
      </w:r>
      <w:r>
        <w:rPr>
          <w:rFonts w:ascii="Lato" w:hAnsi="Lato"/>
          <w:bCs/>
          <w:i w:val="false"/>
          <w:iCs w:val="false"/>
          <w:color w:val="000000" w:themeShade="bf"/>
          <w:sz w:val="24"/>
          <w:szCs w:val="24"/>
        </w:rPr>
        <w:t xml:space="preserve">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</w:t>
      </w:r>
      <w:r>
        <w:rPr>
          <w:rFonts w:ascii="Lato" w:hAnsi="Lato"/>
          <w:bCs/>
          <w:color w:val="000000" w:themeShade="bf"/>
          <w:sz w:val="24"/>
          <w:szCs w:val="24"/>
        </w:rPr>
        <w:t xml:space="preserve">Dziale  </w:t>
      </w:r>
      <w:r>
        <w:rPr>
          <w:rFonts w:ascii="Lato" w:hAnsi="Lato"/>
          <w:bCs/>
          <w:color w:val="000000"/>
          <w:sz w:val="24"/>
          <w:szCs w:val="24"/>
        </w:rPr>
        <w:t>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val="2F5496" w:themeColor="accent1" w:themeShade="bf"/>
        </w:rPr>
      </w:pPr>
      <w:r>
        <w:drawing>
          <wp:anchor behindDoc="0" distT="0" distB="635" distL="114300" distR="114935" simplePos="0" locked="0" layoutInCell="0" allowOverlap="1" relativeHeight="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tab/>
        <w:tab/>
        <w:tab/>
        <w:tab/>
        <w:tab/>
        <w:tab/>
        <w:br/>
        <w:t>58 685-28-89 bądź  58 685-28-80</w:t>
      </w:r>
    </w:p>
    <w:p>
      <w:pPr>
        <w:pStyle w:val="TekstpismaKAS"/>
        <w:rPr>
          <w:rFonts w:ascii="Lato" w:hAnsi="Lato"/>
          <w:color w:val="2F5496" w:themeColor="accent1" w:themeShade="bf"/>
          <w:lang w:eastAsia="pl-PL"/>
        </w:rPr>
      </w:pPr>
      <w:r>
        <w:rPr>
          <w:rFonts w:ascii="Lato" w:hAnsi="Lato"/>
          <w:color w:val="2F5496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8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ascii="Lato" w:hAnsi="Lato"/>
          <w:color w:val="000000" w:themeShade="bf"/>
        </w:rPr>
        <w:t>marzena.czaja@mf.gov.pl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Czeinternetowe"/>
            <w:rFonts w:ascii="Lato" w:hAnsi="Lato"/>
            <w:bCs/>
            <w:color w:val="000000"/>
            <w:sz w:val="24"/>
            <w:szCs w:val="24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spacing w:lineRule="auto" w:line="240" w:before="0" w:after="0"/>
        <w:contextualSpacing w:val="false"/>
        <w:rPr>
          <w:rFonts w:ascii="Lato" w:hAnsi="Lato"/>
          <w:lang w:eastAsia="pl-PL"/>
        </w:rPr>
      </w:pPr>
      <w:r>
        <w:rPr>
          <w:rFonts w:ascii="Lato" w:hAnsi="Lato"/>
          <w:sz w:val="18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sz w:val="18"/>
          <w:lang w:eastAsia="pl-PL"/>
        </w:rPr>
        <w:t>Z up. Naczelnika</w:t>
      </w:r>
    </w:p>
    <w:p>
      <w:pPr>
        <w:pStyle w:val="Normal"/>
        <w:spacing w:lineRule="auto" w:line="240" w:before="0" w:after="0"/>
        <w:jc w:val="left"/>
        <w:rPr/>
      </w:pPr>
      <w:r>
        <w:rPr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Urzędu Skarbowego w Kartuzach</w:t>
      </w:r>
    </w:p>
    <w:p>
      <w:pPr>
        <w:pStyle w:val="Normal"/>
        <w:spacing w:lineRule="auto" w:line="240" w:before="0" w:after="0"/>
        <w:jc w:val="left"/>
        <w:rPr/>
      </w:pPr>
      <w:r>
        <w:rPr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Kierownik Działu</w:t>
      </w:r>
    </w:p>
    <w:p>
      <w:pPr>
        <w:pStyle w:val="Normal"/>
        <w:spacing w:lineRule="auto" w:line="240" w:before="0" w:after="0"/>
        <w:jc w:val="left"/>
        <w:rPr/>
      </w:pPr>
      <w:r>
        <w:rPr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Egzekucji Administracyjnej</w:t>
      </w:r>
    </w:p>
    <w:p>
      <w:pPr>
        <w:pStyle w:val="Normal"/>
        <w:spacing w:lineRule="auto" w:line="240" w:before="0" w:after="0"/>
        <w:jc w:val="left"/>
        <w:rPr/>
      </w:pPr>
      <w:r>
        <w:rPr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Ewelina Danio</w:t>
      </w:r>
    </w:p>
    <w:p>
      <w:pPr>
        <w:pStyle w:val="Normal"/>
        <w:spacing w:lineRule="auto" w:line="240" w:before="0" w:after="0"/>
        <w:rPr/>
      </w:pPr>
      <w:r>
        <w:rPr>
          <w:rFonts w:ascii="Calibri-Italic" w:hAnsi="Calibri-Italic"/>
          <w:i/>
          <w:sz w:val="18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>/dokument podpisano podpisem elektronicznym</w:t>
      </w:r>
      <w:r>
        <w:rPr>
          <w:sz w:val="18"/>
        </w:rPr>
        <w:t>/</w:t>
      </w:r>
    </w:p>
    <w:sectPr>
      <w:headerReference w:type="first" r:id="rId6"/>
      <w:footerReference w:type="default" r:id="rId7"/>
      <w:footerReference w:type="first" r:id="rId8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-Italic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left="2154" w:right="-57" w:hanging="0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4445" distB="4445" distL="4445" distR="4445" simplePos="0" locked="0" layoutInCell="0" allowOverlap="1" relativeHeight="2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7710" cy="31369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" cy="31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opka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2pt;height:24.6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Stopka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1134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 w14:val="0"/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link w:val="Nagwek2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" w:customStyle="1">
    <w:name w:val="Łącze internetowe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link w:val="Tekstpodstawowy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link w:val="rdtytuKAS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Bezodstpw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wstpniesformatowanyZnak" w:customStyle="1">
    <w:name w:val="HTML - wstępnie sformatowany Znak"/>
    <w:basedOn w:val="DefaultParagraphFont"/>
    <w:link w:val="HTML-wstpniesformatowany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Nagwek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Tretekstu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Nagwek2"/>
    <w:link w:val="rdtytuKASZnak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left="426" w:hanging="284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 w:hanging="0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left="1418" w:right="4253" w:hanging="1418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 w:hanging="0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left="284" w:hanging="284"/>
    </w:pPr>
    <w:rPr/>
  </w:style>
  <w:style w:type="paragraph" w:styleId="Prawo" w:customStyle="1">
    <w:name w:val="Prawo"/>
    <w:basedOn w:val="Tretekstu"/>
    <w:qFormat/>
    <w:rsid w:val="00484d7f"/>
    <w:pPr>
      <w:pBdr>
        <w:left w:val="single" w:sz="4" w:space="8" w:color="000000"/>
      </w:pBdr>
      <w:spacing w:before="160" w:after="120"/>
      <w:ind w:left="454" w:hanging="0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 w:hanging="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link w:val="HTML-wstpniesformatowanyZnak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Application>LibreOffice/7.2.1.2$Windows_X86_64 LibreOffice_project/87b77fad49947c1441b67c559c339af8f3517e22</Application>
  <AppVersion>15.0000</AppVersion>
  <Pages>2</Pages>
  <Words>397</Words>
  <Characters>2602</Characters>
  <CharactersWithSpaces>3119</CharactersWithSpaces>
  <Paragraphs>61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2025-12-19T11:25:00Z</cp:lastPrinted>
  <dcterms:modified xsi:type="dcterms:W3CDTF">2025-12-19T12:42:17Z</dcterms:modified>
  <cp:revision>17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