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media/image2.wmf" ContentType="image/x-wmf"/>
  <Override PartName="/word/media/image3.wmf" ContentType="image/x-wmf"/>
  <Override PartName="/word/media/image4.gif" ContentType="image/gi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60" w:after="240"/>
        <w:ind w:left="1418" w:hanging="0"/>
        <w:contextualSpacing/>
        <w:rPr>
          <w:rFonts w:ascii="Lato" w:hAnsi="Lato" w:cs="Calibri" w:cstheme="minorHAnsi"/>
          <w:b/>
          <w:b/>
          <w:caps/>
          <w:sz w:val="28"/>
          <w:szCs w:val="28"/>
        </w:rPr>
      </w:pPr>
      <w:r>
        <w:drawing>
          <wp:anchor behindDoc="0" distT="0" distB="0" distL="0" distR="0" simplePos="0" locked="0" layoutInCell="0" allowOverlap="1" relativeHeight="10">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2"/>
                    <a:stretch>
                      <a:fillRect/>
                    </a:stretch>
                  </pic:blipFill>
                  <pic:spPr bwMode="auto">
                    <a:xfrm>
                      <a:off x="0" y="0"/>
                      <a:ext cx="669290" cy="756285"/>
                    </a:xfrm>
                    <a:prstGeom prst="rect">
                      <a:avLst/>
                    </a:prstGeom>
                  </pic:spPr>
                </pic:pic>
              </a:graphicData>
            </a:graphic>
          </wp:anchor>
        </w:drawing>
      </w:r>
      <w:r>
        <w:rPr>
          <w:rFonts w:cs="Calibri" w:ascii="Lato" w:hAnsi="Lato" w:cstheme="minorHAnsi"/>
          <w:b/>
          <w:caps/>
          <w:sz w:val="28"/>
          <w:szCs w:val="28"/>
        </w:rPr>
        <w:t>Naczelnik</w:t>
      </w:r>
    </w:p>
    <w:p>
      <w:pPr>
        <w:pStyle w:val="Normal"/>
        <w:spacing w:lineRule="auto" w:line="240" w:before="0" w:after="240"/>
        <w:ind w:left="1418" w:hanging="0"/>
        <w:contextualSpacing/>
        <w:rPr>
          <w:rFonts w:ascii="Lato" w:hAnsi="Lato" w:cs="Calibri" w:cstheme="minorHAnsi"/>
          <w:b/>
          <w:b/>
          <w:caps/>
          <w:sz w:val="28"/>
          <w:szCs w:val="28"/>
        </w:rPr>
      </w:pPr>
      <w:r>
        <w:rPr>
          <w:rFonts w:cs="Calibri" w:ascii="Lato" w:hAnsi="Lato" w:cstheme="minorHAnsi"/>
          <w:b/>
          <w:caps/>
          <w:sz w:val="28"/>
          <w:szCs w:val="28"/>
        </w:rPr>
        <w:t>Urzędu skarbowego</w:t>
      </w:r>
    </w:p>
    <w:p>
      <w:pPr>
        <w:pStyle w:val="Normal"/>
        <w:spacing w:lineRule="auto" w:line="240" w:before="0" w:after="240"/>
        <w:ind w:left="1418" w:hanging="0"/>
        <w:contextualSpacing/>
        <w:rPr>
          <w:rFonts w:ascii="Lato" w:hAnsi="Lato" w:cs="Calibri" w:cstheme="minorHAnsi"/>
          <w:b/>
          <w:b/>
          <w:caps/>
          <w:sz w:val="28"/>
          <w:szCs w:val="28"/>
        </w:rPr>
      </w:pPr>
      <w:r>
        <w:rPr>
          <w:rFonts w:cs="Calibri" w:ascii="Lato" w:hAnsi="Lato" w:cstheme="minorHAnsi"/>
          <w:b/>
          <w:caps/>
          <w:sz w:val="28"/>
          <w:szCs w:val="28"/>
        </w:rPr>
        <w:t>w PRUSZCZU GDAŃSKIM</w:t>
      </w:r>
    </w:p>
    <w:p>
      <w:pPr>
        <w:pStyle w:val="Normal"/>
        <w:spacing w:before="0" w:after="0"/>
        <w:contextualSpacing/>
        <w:jc w:val="right"/>
        <w:rPr>
          <w:rFonts w:ascii="Lato" w:hAnsi="Lato"/>
        </w:rPr>
      </w:pPr>
      <w:r>
        <w:rPr>
          <w:rFonts w:ascii="Lato" w:hAnsi="Lato"/>
        </w:rPr>
      </w:r>
    </w:p>
    <w:p>
      <w:pPr>
        <w:pStyle w:val="Normal"/>
        <w:spacing w:before="0" w:after="0"/>
        <w:contextualSpacing/>
        <w:rPr>
          <w:rFonts w:ascii="Arial" w:hAnsi="Arial"/>
          <w:sz w:val="22"/>
          <w:szCs w:val="22"/>
        </w:rPr>
      </w:pPr>
      <w:r>
        <mc:AlternateContent>
          <mc:Choice Requires="wps">
            <w:drawing>
              <wp:anchor behindDoc="0" distT="68580" distB="0" distL="185420" distR="0" simplePos="0" locked="0" layoutInCell="0" allowOverlap="0" relativeHeight="11" wp14:anchorId="3E0D96D5">
                <wp:simplePos x="0" y="0"/>
                <wp:positionH relativeFrom="column">
                  <wp:posOffset>0</wp:posOffset>
                </wp:positionH>
                <wp:positionV relativeFrom="paragraph">
                  <wp:posOffset>46990</wp:posOffset>
                </wp:positionV>
                <wp:extent cx="5766435" cy="6985"/>
                <wp:effectExtent l="0" t="0" r="31750" b="19050"/>
                <wp:wrapTopAndBottom/>
                <wp:docPr id="2" name="Łącznik prosty 2" descr="linia rozdzielająca"/>
                <a:graphic xmlns:a="http://schemas.openxmlformats.org/drawingml/2006/main">
                  <a:graphicData uri="http://schemas.microsoft.com/office/word/2010/wordprocessingShape">
                    <wps:wsp>
                      <wps:cNvSpPr/>
                      <wps:spPr>
                        <a:xfrm>
                          <a:off x="0" y="0"/>
                          <a:ext cx="5765760" cy="1800"/>
                        </a:xfrm>
                        <a:prstGeom prst="line">
                          <a:avLst/>
                        </a:prstGeom>
                        <a:ln w="12700">
                          <a:solidFill>
                            <a:srgbClr val="000000"/>
                          </a:solidFill>
                          <a:miter/>
                        </a:ln>
                      </wps:spPr>
                      <wps:style>
                        <a:lnRef idx="0"/>
                        <a:fillRef idx="0"/>
                        <a:effectRef idx="0"/>
                        <a:fontRef idx="minor"/>
                      </wps:style>
                      <wps:bodyPr/>
                    </wps:wsp>
                  </a:graphicData>
                </a:graphic>
              </wp:anchor>
            </w:drawing>
          </mc:Choice>
          <mc:Fallback>
            <w:pict>
              <v:line id="shape_0" from="0pt,3.7pt" to="453.95pt,3.8pt" ID="Łącznik prosty 2" stroked="t" style="position:absolute" wp14:anchorId="3E0D96D5">
                <v:stroke color="black" weight="12600" joinstyle="miter" endcap="flat"/>
                <v:fill o:detectmouseclick="t" on="false"/>
                <w10:wrap type="topAndBottom"/>
              </v:line>
            </w:pict>
          </mc:Fallback>
        </mc:AlternateContent>
      </w:r>
      <w:r>
        <w:rPr>
          <w:rFonts w:ascii="Arial" w:hAnsi="Arial"/>
          <w:b w:val="false"/>
          <w:i w:val="false"/>
          <w:caps w:val="false"/>
          <w:smallCaps w:val="false"/>
          <w:color w:val="111111"/>
          <w:spacing w:val="0"/>
          <w:sz w:val="22"/>
          <w:szCs w:val="22"/>
        </w:rPr>
        <w:t>2221-SEE.7112.1.59.2023.</w:t>
      </w:r>
      <w:r>
        <w:rPr>
          <w:rFonts w:ascii="Arial" w:hAnsi="Arial"/>
          <w:b w:val="false"/>
          <w:i w:val="false"/>
          <w:caps w:val="false"/>
          <w:smallCaps w:val="false"/>
          <w:color w:val="111111"/>
          <w:spacing w:val="0"/>
          <w:sz w:val="22"/>
          <w:szCs w:val="22"/>
        </w:rPr>
        <w:t>77</w:t>
      </w:r>
      <w:r>
        <w:rPr>
          <w:rFonts w:ascii="Arial" w:hAnsi="Arial"/>
          <w:color w:val="111111"/>
          <w:sz w:val="22"/>
          <w:szCs w:val="22"/>
        </w:rPr>
        <w:t xml:space="preserve">   </w:t>
      </w:r>
      <w:r>
        <w:rPr>
          <w:rFonts w:ascii="Arial" w:hAnsi="Arial"/>
          <w:sz w:val="22"/>
          <w:szCs w:val="22"/>
        </w:rPr>
        <w:t xml:space="preserve">                           Pruszcz Gdański, 1</w:t>
      </w:r>
      <w:r>
        <w:rPr>
          <w:rFonts w:ascii="Arial" w:hAnsi="Arial"/>
          <w:sz w:val="22"/>
          <w:szCs w:val="22"/>
        </w:rPr>
        <w:t>9</w:t>
      </w:r>
      <w:r>
        <w:rPr>
          <w:rFonts w:ascii="Arial" w:hAnsi="Arial"/>
          <w:sz w:val="22"/>
          <w:szCs w:val="22"/>
        </w:rPr>
        <w:t xml:space="preserve"> </w:t>
      </w:r>
      <w:r>
        <w:rPr>
          <w:rFonts w:ascii="Arial" w:hAnsi="Arial"/>
          <w:sz w:val="22"/>
          <w:szCs w:val="22"/>
        </w:rPr>
        <w:t>grudnia</w:t>
      </w:r>
      <w:r>
        <w:rPr>
          <w:rFonts w:ascii="Arial" w:hAnsi="Arial"/>
          <w:sz w:val="22"/>
          <w:szCs w:val="22"/>
        </w:rPr>
        <w:t xml:space="preserve"> 2025 </w:t>
      </w:r>
      <w:r>
        <w:rPr>
          <w:rFonts w:ascii="Arial" w:hAnsi="Arial"/>
          <w:iCs/>
          <w:sz w:val="22"/>
          <w:szCs w:val="22"/>
        </w:rPr>
        <w:t>roku</w:t>
      </w:r>
    </w:p>
    <w:p>
      <w:pPr>
        <w:pStyle w:val="TytupismaKAS"/>
        <w:jc w:val="center"/>
        <w:rPr>
          <w:rFonts w:ascii="Lato" w:hAnsi="Lato"/>
          <w:color w:val="C00000"/>
        </w:rPr>
      </w:pPr>
      <w:r>
        <w:rPr>
          <w:rFonts w:ascii="Lato" w:hAnsi="Lato"/>
          <w:color w:val="C00000"/>
        </w:rPr>
      </w:r>
    </w:p>
    <w:p>
      <w:pPr>
        <w:pStyle w:val="TytupismaKAS"/>
        <w:jc w:val="left"/>
        <w:rPr>
          <w:rFonts w:ascii="Lato" w:hAnsi="Lato"/>
          <w:color w:val="C00000"/>
        </w:rPr>
      </w:pPr>
      <w:r>
        <w:rPr>
          <w:rFonts w:ascii="Lato" w:hAnsi="Lato"/>
          <w:color w:val="C00000"/>
        </w:rPr>
        <w:t xml:space="preserve">OBWIESZCZENIE O </w:t>
      </w:r>
      <w:r>
        <w:rPr>
          <w:rFonts w:ascii="Lato" w:hAnsi="Lato"/>
          <w:color w:val="C00000"/>
        </w:rPr>
        <w:t>TRZECIEJ</w:t>
      </w:r>
      <w:r>
        <w:rPr>
          <w:rFonts w:ascii="Lato" w:hAnsi="Lato"/>
          <w:color w:val="C00000"/>
        </w:rPr>
        <w:t xml:space="preserve"> LICYTACJI NIERUCHOMOŚCI</w:t>
      </w:r>
    </w:p>
    <w:p>
      <w:pPr>
        <w:pStyle w:val="TytupismaKAS"/>
        <w:jc w:val="left"/>
        <w:rPr>
          <w:b w:val="false"/>
          <w:b w:val="false"/>
          <w:bCs w:val="false"/>
        </w:rPr>
      </w:pPr>
      <w:r>
        <w:rPr>
          <w:b w:val="false"/>
          <w:bCs w:val="false"/>
        </w:rPr>
      </w:r>
    </w:p>
    <w:p>
      <w:pPr>
        <w:pStyle w:val="TytupismaKAS"/>
        <w:spacing w:before="0" w:after="0"/>
        <w:contextualSpacing/>
        <w:jc w:val="left"/>
        <w:rPr>
          <w:rFonts w:ascii="Arial" w:hAnsi="Arial"/>
          <w:sz w:val="22"/>
          <w:szCs w:val="22"/>
        </w:rPr>
      </w:pPr>
      <w:r>
        <w:rPr>
          <w:rFonts w:ascii="Arial" w:hAnsi="Arial"/>
          <w:b w:val="false"/>
          <w:bCs w:val="false"/>
          <w:sz w:val="22"/>
          <w:szCs w:val="22"/>
        </w:rPr>
        <w:t>Szanowni Państwo,</w:t>
      </w:r>
    </w:p>
    <w:p>
      <w:pPr>
        <w:pStyle w:val="Standard"/>
        <w:widowControl/>
        <w:suppressAutoHyphens w:val="true"/>
        <w:overflowPunct w:val="false"/>
        <w:bidi w:val="0"/>
        <w:spacing w:lineRule="auto" w:line="276" w:before="0" w:after="0"/>
        <w:ind w:left="0" w:right="0" w:hanging="0"/>
        <w:jc w:val="left"/>
        <w:textAlignment w:val="baseline"/>
        <w:rPr>
          <w:rFonts w:ascii="Arial" w:hAnsi="Arial"/>
          <w:sz w:val="22"/>
          <w:szCs w:val="22"/>
        </w:rPr>
      </w:pPr>
      <w:r>
        <w:rPr>
          <w:rFonts w:ascii="Arial" w:hAnsi="Arial"/>
          <w:bCs/>
          <w:sz w:val="22"/>
          <w:szCs w:val="22"/>
        </w:rPr>
        <w:t xml:space="preserve">informuję o sprzedaży w drodze licytacji publicznej nieruchomości </w:t>
      </w:r>
      <w:r>
        <w:rPr>
          <w:rFonts w:cs="Calibri" w:ascii="Arial" w:hAnsi="Arial" w:cstheme="minorHAnsi"/>
          <w:sz w:val="22"/>
          <w:szCs w:val="22"/>
        </w:rPr>
        <w:t>położonych                                 w miejscowości Borkowo (gmina Pruszcz Gdański), s</w:t>
      </w:r>
      <w:r>
        <w:rPr>
          <w:rFonts w:cs="Calibri" w:ascii="Arial" w:hAnsi="Arial" w:cstheme="minorHAnsi"/>
          <w:bCs/>
          <w:sz w:val="22"/>
          <w:szCs w:val="22"/>
        </w:rPr>
        <w:t xml:space="preserve">kładających się z: </w:t>
      </w:r>
    </w:p>
    <w:p>
      <w:pPr>
        <w:pStyle w:val="Standard"/>
        <w:widowControl/>
        <w:suppressAutoHyphens w:val="true"/>
        <w:overflowPunct w:val="false"/>
        <w:bidi w:val="0"/>
        <w:spacing w:lineRule="auto" w:line="276" w:before="0" w:after="0"/>
        <w:ind w:left="0" w:right="0" w:hanging="0"/>
        <w:jc w:val="left"/>
        <w:textAlignment w:val="baseline"/>
        <w:rPr/>
      </w:pPr>
      <w:r>
        <w:rPr>
          <w:rStyle w:val="Eop"/>
          <w:rFonts w:ascii="Arial" w:hAnsi="Arial"/>
          <w:sz w:val="22"/>
          <w:szCs w:val="22"/>
        </w:rPr>
        <w:t>1) lokalu mieszkalnego o pow. 110,6000 m</w:t>
      </w:r>
      <w:r>
        <w:rPr>
          <w:rStyle w:val="Eop"/>
          <w:rFonts w:eastAsia="Cambria" w:cs="Calibri" w:ascii="Arial" w:hAnsi="Arial"/>
          <w:sz w:val="22"/>
          <w:szCs w:val="22"/>
        </w:rPr>
        <w:t>² wraz z udziałem związanym z własnością lokalu                  w nieruchomości wspólnej w wielkości 1106/8828</w:t>
      </w:r>
      <w:r>
        <w:rPr>
          <w:rStyle w:val="Eop"/>
          <w:rFonts w:ascii="Arial" w:hAnsi="Arial"/>
          <w:sz w:val="22"/>
          <w:szCs w:val="22"/>
        </w:rPr>
        <w:t>, położonego w Borkowie przy ul. Topolowej 35A, gm. Pruszcz Gdański,  dla którego Sąd Rejonowy Gdańsk – Północ w Gdańsku prowadzi księgę wieczystą nr GD1G/00247888/4,</w:t>
      </w:r>
    </w:p>
    <w:p>
      <w:pPr>
        <w:pStyle w:val="Standard"/>
        <w:widowControl/>
        <w:suppressAutoHyphens w:val="true"/>
        <w:overflowPunct w:val="false"/>
        <w:bidi w:val="0"/>
        <w:spacing w:lineRule="auto" w:line="276" w:before="0" w:after="0"/>
        <w:ind w:left="0" w:right="0" w:hanging="0"/>
        <w:jc w:val="left"/>
        <w:textAlignment w:val="baseline"/>
        <w:rPr/>
      </w:pPr>
      <w:r>
        <w:rPr>
          <w:rStyle w:val="Eop"/>
          <w:rFonts w:cs="Calibri" w:ascii="Arial" w:hAnsi="Arial" w:cstheme="minorHAnsi"/>
          <w:bCs/>
          <w:sz w:val="22"/>
          <w:szCs w:val="22"/>
        </w:rPr>
        <w:t>2) udziału wynoszącego 6/304 w nieruchomości stanowiącej grunty orne działka nr 56/25 o powierzchni 0,4049 ha, położonego w Borkowie gm. Pruszcz Gdański, dla której Sąd Rejonowy Gdańsk – Północ w Gdańsku prowadzi księgę wieczystą nr GD1G/00153579/9.</w:t>
      </w:r>
    </w:p>
    <w:p>
      <w:pPr>
        <w:pStyle w:val="Normal"/>
        <w:spacing w:lineRule="auto" w:line="276" w:before="0" w:after="0"/>
        <w:jc w:val="left"/>
        <w:rPr>
          <w:rFonts w:ascii="Arial" w:hAnsi="Arial" w:cs="Calibri Light"/>
          <w:sz w:val="22"/>
          <w:szCs w:val="22"/>
        </w:rPr>
      </w:pPr>
      <w:r>
        <w:rPr>
          <w:rFonts w:cs="Calibri Light" w:ascii="Arial" w:hAnsi="Arial"/>
          <w:sz w:val="22"/>
          <w:szCs w:val="22"/>
        </w:rPr>
      </w:r>
    </w:p>
    <w:p>
      <w:pPr>
        <w:pStyle w:val="Normal"/>
        <w:widowControl/>
        <w:suppressAutoHyphens w:val="true"/>
        <w:bidi w:val="0"/>
        <w:spacing w:lineRule="auto" w:line="276" w:before="0" w:after="0"/>
        <w:ind w:left="0" w:right="0" w:hanging="0"/>
        <w:jc w:val="left"/>
        <w:rPr>
          <w:rFonts w:ascii="Arial" w:hAnsi="Arial"/>
          <w:sz w:val="22"/>
          <w:szCs w:val="22"/>
        </w:rPr>
      </w:pPr>
      <w:r>
        <w:rPr>
          <w:rFonts w:ascii="Arial" w:hAnsi="Arial"/>
          <w:bCs/>
          <w:sz w:val="22"/>
          <w:szCs w:val="22"/>
        </w:rPr>
        <w:t>Nieruchomość należy do Państwa Joanny i Andrzeja Boczek.</w:t>
      </w:r>
    </w:p>
    <w:p>
      <w:pPr>
        <w:pStyle w:val="Normal"/>
        <w:widowControl/>
        <w:suppressAutoHyphens w:val="true"/>
        <w:bidi w:val="0"/>
        <w:spacing w:lineRule="auto" w:line="276" w:before="0" w:after="0"/>
        <w:ind w:left="-340" w:right="0" w:hanging="0"/>
        <w:jc w:val="left"/>
        <w:rPr>
          <w:rFonts w:ascii="Arial" w:hAnsi="Arial"/>
          <w:sz w:val="22"/>
          <w:szCs w:val="22"/>
        </w:rPr>
      </w:pPr>
      <w:r>
        <w:rPr>
          <w:rFonts w:ascii="Arial" w:hAnsi="Arial"/>
          <w:sz w:val="22"/>
          <w:szCs w:val="22"/>
        </w:rPr>
      </w:r>
    </w:p>
    <w:p>
      <w:pPr>
        <w:pStyle w:val="Normal"/>
        <w:widowControl/>
        <w:suppressAutoHyphens w:val="true"/>
        <w:bidi w:val="0"/>
        <w:spacing w:lineRule="auto" w:line="276" w:before="0" w:after="0"/>
        <w:ind w:left="0" w:right="0" w:hanging="0"/>
        <w:jc w:val="left"/>
        <w:rPr>
          <w:rFonts w:ascii="Arial" w:hAnsi="Arial"/>
          <w:sz w:val="22"/>
          <w:szCs w:val="22"/>
        </w:rPr>
      </w:pPr>
      <w:r>
        <w:rPr>
          <w:rFonts w:cs="Calibri Light" w:ascii="Arial" w:hAnsi="Arial"/>
          <w:i w:val="false"/>
          <w:iCs w:val="false"/>
          <w:sz w:val="22"/>
          <w:szCs w:val="22"/>
        </w:rPr>
        <w:t>Budynek mieszkalny jednorodzinny, dwu</w:t>
      </w:r>
      <w:r>
        <w:rPr>
          <w:rFonts w:cs="Calibri Light" w:ascii="Arial" w:hAnsi="Arial"/>
          <w:i w:val="false"/>
          <w:iCs w:val="false"/>
          <w:sz w:val="22"/>
          <w:szCs w:val="22"/>
        </w:rPr>
        <w:t>lokalowy</w:t>
      </w:r>
      <w:r>
        <w:rPr>
          <w:rFonts w:cs="Calibri Light" w:ascii="Arial" w:hAnsi="Arial"/>
          <w:i w:val="false"/>
          <w:iCs w:val="false"/>
          <w:sz w:val="22"/>
          <w:szCs w:val="22"/>
        </w:rPr>
        <w:t xml:space="preserve">, wzniesiony na działce nr ew. 945 w miejscowości Borkowo, przy ulicy Topolowej 35, 35A. </w:t>
      </w:r>
    </w:p>
    <w:p>
      <w:pPr>
        <w:pStyle w:val="Normal"/>
        <w:widowControl/>
        <w:suppressAutoHyphens w:val="true"/>
        <w:bidi w:val="0"/>
        <w:spacing w:lineRule="auto" w:line="276" w:before="0" w:after="0"/>
        <w:ind w:left="0" w:right="0" w:hanging="0"/>
        <w:jc w:val="left"/>
        <w:rPr/>
      </w:pPr>
      <w:r>
        <w:rPr>
          <w:rStyle w:val="Teksttreci"/>
          <w:rFonts w:cs="Calibri Light" w:ascii="Arial" w:hAnsi="Arial"/>
          <w:bCs/>
          <w:i w:val="false"/>
          <w:iCs w:val="false"/>
          <w:color w:val="000000"/>
          <w:spacing w:val="0"/>
          <w:w w:val="100"/>
          <w:sz w:val="22"/>
          <w:szCs w:val="22"/>
          <w:shd w:fill="auto" w:val="clear"/>
          <w:lang w:val="pl-PL" w:eastAsia="pl-PL"/>
        </w:rPr>
        <w:t xml:space="preserve">Budynek parterowy z poddaszem użytkowym, wzniesiony w technologii tradycyjnej około 2010 roku. Budynek murowany, ściany zewnętrzne docieplone styropianem. Dach dwuspadowy kryty dachówką. Budynek wyposażony w następujące instalacje: wodociągową, kanalizacyjną, gazową, elektryczną i telekomunikacyjną. </w:t>
      </w:r>
    </w:p>
    <w:p>
      <w:pPr>
        <w:pStyle w:val="Normal"/>
        <w:widowControl/>
        <w:suppressAutoHyphens w:val="true"/>
        <w:bidi w:val="0"/>
        <w:spacing w:lineRule="auto" w:line="276" w:before="0" w:after="0"/>
        <w:ind w:left="0" w:right="0" w:hanging="0"/>
        <w:jc w:val="left"/>
        <w:rPr>
          <w:rFonts w:ascii="Arial" w:hAnsi="Arial"/>
          <w:sz w:val="22"/>
          <w:szCs w:val="22"/>
        </w:rPr>
      </w:pPr>
      <w:r>
        <w:rPr>
          <w:rFonts w:cs="Calibri Light" w:ascii="Arial" w:hAnsi="Arial"/>
          <w:color w:val="000000"/>
          <w:sz w:val="22"/>
          <w:szCs w:val="22"/>
        </w:rPr>
        <w:t>Lokal mieszkalny posiada powierzchnię użytkową 110,60 m</w:t>
      </w:r>
      <w:r>
        <w:rPr>
          <w:rFonts w:cs="Calibri Light" w:ascii="Arial" w:hAnsi="Arial"/>
          <w:color w:val="000000"/>
          <w:sz w:val="22"/>
          <w:szCs w:val="22"/>
          <w:vertAlign w:val="superscript"/>
        </w:rPr>
        <w:t>2</w:t>
      </w:r>
      <w:r>
        <w:rPr>
          <w:rFonts w:cs="Calibri Light" w:ascii="Arial" w:hAnsi="Arial"/>
          <w:color w:val="000000"/>
          <w:sz w:val="22"/>
          <w:szCs w:val="22"/>
        </w:rPr>
        <w:t xml:space="preserve">. Na program użytkowy składają się na parterze budynku: pokój dzienny z jadalnią i kuchnią, komunikacja, wiatrołap i łazienka oraz na poddaszu: cztery pokoje, łazienka i komunikacja. </w:t>
      </w:r>
    </w:p>
    <w:p>
      <w:pPr>
        <w:pStyle w:val="Normal"/>
        <w:widowControl/>
        <w:suppressAutoHyphens w:val="true"/>
        <w:bidi w:val="0"/>
        <w:spacing w:lineRule="auto" w:line="276" w:before="0" w:after="0"/>
        <w:ind w:left="-340" w:right="0" w:hanging="0"/>
        <w:jc w:val="left"/>
        <w:rPr>
          <w:rFonts w:ascii="Arial" w:hAnsi="Arial" w:cs="Calibri Light"/>
          <w:b w:val="false"/>
          <w:b w:val="false"/>
          <w:bCs w:val="false"/>
          <w:color w:val="000000"/>
          <w:sz w:val="22"/>
          <w:szCs w:val="22"/>
          <w:shd w:fill="auto" w:val="clear"/>
        </w:rPr>
      </w:pPr>
      <w:r>
        <w:rPr>
          <w:rFonts w:cs="Calibri Light" w:ascii="Arial" w:hAnsi="Arial"/>
          <w:b w:val="false"/>
          <w:bCs w:val="false"/>
          <w:color w:val="000000"/>
          <w:sz w:val="22"/>
          <w:szCs w:val="22"/>
          <w:shd w:fill="auto" w:val="clear"/>
        </w:rPr>
      </w:r>
    </w:p>
    <w:p>
      <w:pPr>
        <w:pStyle w:val="Normal"/>
        <w:widowControl/>
        <w:suppressAutoHyphens w:val="true"/>
        <w:bidi w:val="0"/>
        <w:spacing w:lineRule="auto" w:line="276" w:before="0" w:after="0"/>
        <w:ind w:left="0" w:right="0" w:hanging="0"/>
        <w:jc w:val="left"/>
        <w:rPr>
          <w:rFonts w:ascii="Arial" w:hAnsi="Arial"/>
          <w:sz w:val="22"/>
          <w:szCs w:val="22"/>
        </w:rPr>
      </w:pPr>
      <w:r>
        <w:rPr>
          <w:rFonts w:cs="Calibri Light" w:ascii="Arial" w:hAnsi="Arial"/>
          <w:b w:val="false"/>
          <w:bCs w:val="false"/>
          <w:sz w:val="22"/>
          <w:szCs w:val="22"/>
          <w:shd w:fill="auto" w:val="clear"/>
        </w:rPr>
        <w:t>Działka nr 56/25 o powierzchni 4049 m</w:t>
      </w:r>
      <w:r>
        <w:rPr>
          <w:rFonts w:cs="Calibri Light" w:ascii="Arial" w:hAnsi="Arial"/>
          <w:b w:val="false"/>
          <w:bCs w:val="false"/>
          <w:sz w:val="22"/>
          <w:szCs w:val="22"/>
          <w:shd w:fill="auto" w:val="clear"/>
          <w:vertAlign w:val="superscript"/>
        </w:rPr>
        <w:t xml:space="preserve">2 </w:t>
      </w:r>
      <w:r>
        <w:rPr>
          <w:rFonts w:cs="Calibri Light" w:ascii="Arial" w:hAnsi="Arial"/>
          <w:b w:val="false"/>
          <w:bCs w:val="false"/>
          <w:sz w:val="22"/>
          <w:szCs w:val="22"/>
          <w:shd w:fill="auto" w:val="clear"/>
        </w:rPr>
        <w:t xml:space="preserve">stanowi drogę wewnętrzną zapewniającą właścicielom budynków zlokalizowanych przy ulicy Topolowej dostęp do drogi publicznej. Działka posiada nieregularny kształt, nawierzchnia utwardzona płytami betonowymi, droga oświetlona, zamontowane latarnie uliczne. W drodze przebiegają liczne media zasilające sąsiednie posesje tj. sieć wodociągowa, kanalizacyjna, gazowa, elektryczna, telekomunikacyjna. </w:t>
      </w:r>
    </w:p>
    <w:p>
      <w:pPr>
        <w:pStyle w:val="Normal"/>
        <w:widowControl/>
        <w:suppressAutoHyphens w:val="true"/>
        <w:bidi w:val="0"/>
        <w:spacing w:lineRule="auto" w:line="276" w:before="0" w:after="0"/>
        <w:ind w:left="0" w:right="0" w:hanging="0"/>
        <w:jc w:val="left"/>
        <w:rPr>
          <w:rFonts w:ascii="Arial" w:hAnsi="Arial"/>
          <w:sz w:val="22"/>
          <w:szCs w:val="22"/>
        </w:rPr>
      </w:pPr>
      <w:r>
        <w:rPr>
          <w:rFonts w:ascii="Arial" w:hAnsi="Arial"/>
          <w:sz w:val="22"/>
          <w:szCs w:val="22"/>
        </w:rPr>
      </w:r>
    </w:p>
    <w:p>
      <w:pPr>
        <w:pStyle w:val="Normal"/>
        <w:widowControl/>
        <w:suppressAutoHyphens w:val="true"/>
        <w:bidi w:val="0"/>
        <w:spacing w:lineRule="auto" w:line="276" w:before="0" w:after="0"/>
        <w:ind w:left="0" w:right="0" w:hanging="0"/>
        <w:jc w:val="left"/>
        <w:rPr>
          <w:rFonts w:ascii="Arial" w:hAnsi="Arial"/>
          <w:sz w:val="22"/>
          <w:szCs w:val="22"/>
        </w:rPr>
      </w:pPr>
      <w:r>
        <w:rPr>
          <w:rStyle w:val="Nagwek2Znak"/>
          <w:rFonts w:ascii="Arial" w:hAnsi="Arial"/>
          <w:color w:val="C00000"/>
          <w:sz w:val="22"/>
          <w:szCs w:val="22"/>
        </w:rPr>
        <w:t>Termin</w:t>
      </w:r>
      <w:r>
        <w:rPr>
          <w:rStyle w:val="Nagwek2Znak"/>
          <w:rFonts w:ascii="Arial" w:hAnsi="Arial"/>
          <w:sz w:val="22"/>
          <w:szCs w:val="22"/>
        </w:rPr>
        <w:t xml:space="preserve">    </w:t>
      </w:r>
      <w:r>
        <w:rPr>
          <w:rStyle w:val="Nagwek2Znak"/>
          <w:rFonts w:ascii="Arial" w:hAnsi="Arial"/>
          <w:color w:val="auto"/>
          <w:sz w:val="22"/>
          <w:szCs w:val="22"/>
        </w:rPr>
        <w:t>1</w:t>
      </w:r>
      <w:r>
        <w:rPr>
          <w:rStyle w:val="Nagwek2Znak"/>
          <w:rFonts w:ascii="Arial" w:hAnsi="Arial"/>
          <w:color w:val="auto"/>
          <w:sz w:val="22"/>
          <w:szCs w:val="22"/>
        </w:rPr>
        <w:t>8</w:t>
      </w:r>
      <w:r>
        <w:rPr>
          <w:rStyle w:val="Nagwek2Znak"/>
          <w:rFonts w:ascii="Arial" w:hAnsi="Arial"/>
          <w:color w:val="auto"/>
          <w:sz w:val="22"/>
          <w:szCs w:val="22"/>
        </w:rPr>
        <w:t>.</w:t>
      </w:r>
      <w:r>
        <w:rPr>
          <w:rStyle w:val="Nagwek2Znak"/>
          <w:rFonts w:ascii="Arial" w:hAnsi="Arial"/>
          <w:color w:val="auto"/>
          <w:sz w:val="22"/>
          <w:szCs w:val="22"/>
        </w:rPr>
        <w:t>02</w:t>
      </w:r>
      <w:r>
        <w:rPr>
          <w:rStyle w:val="Nagwek2Znak"/>
          <w:rFonts w:ascii="Arial" w:hAnsi="Arial"/>
          <w:color w:val="auto"/>
          <w:sz w:val="22"/>
          <w:szCs w:val="22"/>
        </w:rPr>
        <w:t>.2025 roku, godz. 12:00</w:t>
      </w:r>
    </w:p>
    <w:p>
      <w:pPr>
        <w:pStyle w:val="Normal"/>
        <w:widowControl/>
        <w:suppressAutoHyphens w:val="true"/>
        <w:bidi w:val="0"/>
        <w:spacing w:lineRule="auto" w:line="240" w:before="0" w:after="0"/>
        <w:ind w:right="0" w:hanging="0"/>
        <w:jc w:val="left"/>
        <w:rPr>
          <w:rStyle w:val="Nagwek2Znak"/>
          <w:rFonts w:ascii="Lato" w:hAnsi="Lato"/>
          <w:color w:val="auto"/>
          <w:sz w:val="24"/>
          <w:szCs w:val="24"/>
        </w:rPr>
      </w:pPr>
      <w:r>
        <w:rPr>
          <w:rFonts w:ascii="Lato" w:hAnsi="Lato"/>
          <w:color w:val="auto"/>
          <w:sz w:val="24"/>
          <w:szCs w:val="24"/>
        </w:rPr>
      </w:r>
    </w:p>
    <w:p>
      <w:pPr>
        <w:pStyle w:val="Normal"/>
        <w:widowControl/>
        <w:suppressAutoHyphens w:val="true"/>
        <w:bidi w:val="0"/>
        <w:spacing w:lineRule="auto" w:line="240" w:before="0" w:after="0"/>
        <w:ind w:right="0" w:hanging="0"/>
        <w:jc w:val="left"/>
        <w:rPr/>
      </w:pPr>
      <w:r>
        <w:rPr>
          <w:rStyle w:val="Nagwek2Znak"/>
          <w:rFonts w:ascii="Arial" w:hAnsi="Arial"/>
          <w:color w:val="C00000"/>
          <w:sz w:val="22"/>
          <w:szCs w:val="22"/>
        </w:rPr>
        <w:t>Miejsce</w:t>
      </w:r>
      <w:r>
        <w:rPr>
          <w:rStyle w:val="Nagwek2Znak"/>
          <w:rFonts w:ascii="Arial" w:hAnsi="Arial"/>
          <w:color w:val="FF0000"/>
          <w:sz w:val="22"/>
          <w:szCs w:val="22"/>
        </w:rPr>
        <w:tab/>
      </w:r>
      <w:r>
        <w:rPr>
          <w:rFonts w:ascii="Arial" w:hAnsi="Arial"/>
          <w:sz w:val="22"/>
          <w:szCs w:val="22"/>
          <w:lang w:val="fr-FR"/>
        </w:rPr>
        <w:t>Siedziba Urzędu Skarbowego w Pruszczu Gdańskim : 83-000 Pruszcz Gdański, ul. Ignacego Łukasiewicza 2, pok. nr 8.</w:t>
      </w:r>
    </w:p>
    <w:p>
      <w:pPr>
        <w:pStyle w:val="Tretekstu"/>
        <w:spacing w:lineRule="auto" w:line="276" w:before="0" w:after="0"/>
        <w:jc w:val="left"/>
        <w:rPr>
          <w:rFonts w:ascii="Arial" w:hAnsi="Arial"/>
          <w:sz w:val="22"/>
          <w:szCs w:val="22"/>
        </w:rPr>
      </w:pPr>
      <w:r>
        <w:rPr>
          <w:rFonts w:ascii="Arial" w:hAnsi="Arial"/>
          <w:sz w:val="22"/>
          <w:szCs w:val="22"/>
        </w:rPr>
      </w:r>
    </w:p>
    <w:p>
      <w:pPr>
        <w:pStyle w:val="Tretekstu"/>
        <w:widowControl w:val="false"/>
        <w:suppressAutoHyphens w:val="true"/>
        <w:bidi w:val="0"/>
        <w:spacing w:lineRule="auto" w:line="276" w:before="0" w:after="0"/>
        <w:ind w:right="0" w:hanging="0"/>
        <w:jc w:val="left"/>
        <w:rPr>
          <w:rFonts w:ascii="Arial" w:hAnsi="Arial"/>
          <w:sz w:val="22"/>
          <w:szCs w:val="22"/>
        </w:rPr>
      </w:pPr>
      <w:r>
        <w:rPr>
          <w:rFonts w:ascii="Arial" w:hAnsi="Arial"/>
          <w:b/>
          <w:bCs/>
          <w:color w:val="C00000"/>
          <w:sz w:val="22"/>
          <w:szCs w:val="22"/>
        </w:rPr>
        <w:t>Wartość szacunkowa nieruchomości</w:t>
      </w:r>
      <w:r>
        <w:rPr>
          <w:rFonts w:ascii="Arial" w:hAnsi="Arial"/>
          <w:color w:val="C00000"/>
          <w:sz w:val="22"/>
          <w:szCs w:val="22"/>
        </w:rPr>
        <w:t xml:space="preserve">  </w:t>
      </w:r>
      <w:r>
        <w:rPr>
          <w:rFonts w:ascii="Arial" w:hAnsi="Arial"/>
          <w:b/>
          <w:bCs/>
          <w:color w:val="1C1C1C"/>
          <w:sz w:val="22"/>
          <w:szCs w:val="22"/>
        </w:rPr>
        <w:t>1 074</w:t>
      </w:r>
      <w:r>
        <w:rPr>
          <w:rFonts w:ascii="Arial" w:hAnsi="Arial"/>
          <w:b/>
          <w:sz w:val="22"/>
          <w:szCs w:val="22"/>
        </w:rPr>
        <w:t xml:space="preserve"> 300,00 zł</w:t>
      </w:r>
      <w:r>
        <w:rPr>
          <w:rFonts w:ascii="Arial" w:hAnsi="Arial"/>
          <w:sz w:val="22"/>
          <w:szCs w:val="22"/>
        </w:rPr>
        <w:t xml:space="preserve"> (słownie: jeden milion siedemdziesiąt cztery tysiące trzysta złotych  00/100).</w:t>
      </w:r>
    </w:p>
    <w:p>
      <w:pPr>
        <w:pStyle w:val="Tretekstu"/>
        <w:spacing w:lineRule="auto" w:line="276" w:before="0" w:after="0"/>
        <w:jc w:val="left"/>
        <w:rPr>
          <w:rFonts w:ascii="Arial" w:hAnsi="Arial"/>
          <w:sz w:val="22"/>
          <w:szCs w:val="22"/>
        </w:rPr>
      </w:pPr>
      <w:r>
        <w:rPr>
          <w:rFonts w:ascii="Arial" w:hAnsi="Arial"/>
          <w:sz w:val="22"/>
          <w:szCs w:val="22"/>
        </w:rPr>
      </w:r>
    </w:p>
    <w:p>
      <w:pPr>
        <w:pStyle w:val="Tretekstu"/>
        <w:widowControl w:val="false"/>
        <w:suppressAutoHyphens w:val="true"/>
        <w:bidi w:val="0"/>
        <w:spacing w:lineRule="atLeast" w:line="23" w:before="0" w:after="120"/>
        <w:ind w:right="0" w:hanging="0"/>
        <w:jc w:val="left"/>
        <w:rPr/>
      </w:pPr>
      <w:r>
        <w:rPr>
          <w:rStyle w:val="Nagwek2Znak"/>
          <w:rFonts w:ascii="Arial" w:hAnsi="Arial"/>
          <w:color w:val="C00000"/>
          <w:sz w:val="22"/>
          <w:szCs w:val="22"/>
        </w:rPr>
        <w:t xml:space="preserve">Cena wywołania  </w:t>
      </w:r>
      <w:r>
        <w:rPr>
          <w:rStyle w:val="Nagwek2Znak"/>
          <w:rFonts w:ascii="Arial" w:hAnsi="Arial"/>
          <w:color w:val="1C1C1C"/>
          <w:sz w:val="22"/>
          <w:szCs w:val="22"/>
        </w:rPr>
        <w:t>698 295,00</w:t>
      </w:r>
      <w:r>
        <w:rPr>
          <w:rFonts w:eastAsia="" w:cs="Calibri" w:ascii="Arial" w:hAnsi="Arial" w:eastAsiaTheme="majorEastAsia"/>
          <w:b/>
          <w:color w:val="1C1C1C"/>
          <w:sz w:val="22"/>
          <w:szCs w:val="22"/>
          <w:lang w:val="fr-FR"/>
        </w:rPr>
        <w:t xml:space="preserve"> </w:t>
      </w:r>
      <w:r>
        <w:rPr>
          <w:rFonts w:eastAsia="" w:cs="Calibri" w:ascii="Arial" w:hAnsi="Arial" w:eastAsiaTheme="majorEastAsia"/>
          <w:b/>
          <w:sz w:val="22"/>
          <w:szCs w:val="22"/>
          <w:lang w:val="fr-FR"/>
        </w:rPr>
        <w:t xml:space="preserve">zł </w:t>
      </w:r>
      <w:r>
        <w:rPr>
          <w:rFonts w:eastAsia="" w:cs="Calibri" w:ascii="Arial" w:hAnsi="Arial" w:eastAsiaTheme="majorEastAsia"/>
          <w:sz w:val="22"/>
          <w:szCs w:val="22"/>
          <w:lang w:val="fr-FR"/>
        </w:rPr>
        <w:t xml:space="preserve">(słownie: </w:t>
      </w:r>
      <w:r>
        <w:rPr>
          <w:rFonts w:eastAsia="" w:cs="Calibri" w:ascii="Arial" w:hAnsi="Arial" w:eastAsiaTheme="majorEastAsia"/>
          <w:sz w:val="22"/>
          <w:szCs w:val="22"/>
          <w:lang w:val="fr-FR"/>
        </w:rPr>
        <w:t xml:space="preserve">sześćset dziewięćdziesiąt osiem tysięcy dwieście dziewięćdziesiąt pięć złotych 00/100). </w:t>
      </w:r>
    </w:p>
    <w:p>
      <w:pPr>
        <w:pStyle w:val="Tretekstu"/>
        <w:widowControl w:val="false"/>
        <w:suppressAutoHyphens w:val="true"/>
        <w:bidi w:val="0"/>
        <w:spacing w:lineRule="atLeast" w:line="23" w:before="0" w:after="120"/>
        <w:ind w:right="0" w:hanging="0"/>
        <w:jc w:val="left"/>
        <w:rPr>
          <w:rFonts w:ascii="Arial" w:hAnsi="Arial" w:eastAsia="" w:cs="Calibri" w:eastAsiaTheme="majorEastAsia"/>
          <w:sz w:val="22"/>
          <w:szCs w:val="22"/>
          <w:lang w:val="fr-FR"/>
        </w:rPr>
      </w:pPr>
      <w:r>
        <w:rPr>
          <w:rFonts w:eastAsia="" w:cs="Calibri" w:eastAsiaTheme="majorEastAsia" w:ascii="Arial" w:hAnsi="Arial"/>
          <w:sz w:val="22"/>
          <w:szCs w:val="22"/>
          <w:lang w:val="fr-FR"/>
        </w:rPr>
      </w:r>
    </w:p>
    <w:p>
      <w:pPr>
        <w:pStyle w:val="Tretekstu"/>
        <w:widowControl w:val="false"/>
        <w:suppressAutoHyphens w:val="true"/>
        <w:bidi w:val="0"/>
        <w:spacing w:lineRule="atLeast" w:line="23" w:before="0" w:after="120"/>
        <w:ind w:right="0" w:hanging="0"/>
        <w:jc w:val="left"/>
        <w:rPr/>
      </w:pPr>
      <w:r>
        <w:rPr>
          <w:rStyle w:val="Nagwek2Znak"/>
          <w:rFonts w:ascii="Arial" w:hAnsi="Arial"/>
          <w:color w:val="C00000"/>
          <w:sz w:val="22"/>
          <w:szCs w:val="22"/>
        </w:rPr>
        <w:t xml:space="preserve">Wadium </w:t>
      </w:r>
      <w:r>
        <w:rPr>
          <w:rStyle w:val="Nagwek2Znak"/>
          <w:rFonts w:eastAsia="" w:cs="Calibri" w:ascii="Arial" w:hAnsi="Arial" w:eastAsiaTheme="majorEastAsia"/>
          <w:b/>
          <w:color w:val="C00000"/>
          <w:sz w:val="22"/>
          <w:szCs w:val="22"/>
          <w:lang w:val="fr-FR"/>
        </w:rPr>
        <w:t xml:space="preserve"> </w:t>
      </w:r>
      <w:r>
        <w:rPr>
          <w:rFonts w:eastAsia="" w:cs="Calibri" w:ascii="Arial" w:hAnsi="Arial" w:eastAsiaTheme="majorEastAsia"/>
          <w:b/>
          <w:sz w:val="22"/>
          <w:szCs w:val="22"/>
          <w:lang w:val="fr-FR"/>
        </w:rPr>
        <w:t xml:space="preserve"> 107 430,00 zł</w:t>
      </w:r>
    </w:p>
    <w:p>
      <w:pPr>
        <w:pStyle w:val="Standard"/>
        <w:widowControl/>
        <w:suppressAutoHyphens w:val="true"/>
        <w:overflowPunct w:val="false"/>
        <w:bidi w:val="0"/>
        <w:spacing w:lineRule="auto" w:line="276" w:before="0" w:after="0"/>
        <w:ind w:right="0" w:hanging="0"/>
        <w:jc w:val="left"/>
        <w:textAlignment w:val="baseline"/>
        <w:rPr>
          <w:rFonts w:ascii="Arial" w:hAnsi="Arial"/>
          <w:sz w:val="22"/>
          <w:szCs w:val="22"/>
        </w:rPr>
      </w:pPr>
      <w:r>
        <w:rPr>
          <w:rFonts w:ascii="Arial" w:hAnsi="Arial"/>
          <w:bCs/>
          <w:sz w:val="22"/>
          <w:szCs w:val="22"/>
        </w:rPr>
        <w:t xml:space="preserve">Warunkiem przystąpienia do licytacji nieruchomości jest wpłata wadium. </w:t>
        <w:tab/>
        <w:tab/>
      </w:r>
    </w:p>
    <w:p>
      <w:pPr>
        <w:pStyle w:val="TekstpismaKAS"/>
        <w:widowControl w:val="false"/>
        <w:suppressAutoHyphens w:val="true"/>
        <w:bidi w:val="0"/>
        <w:spacing w:lineRule="auto" w:line="276" w:before="0" w:after="0"/>
        <w:ind w:right="0" w:hanging="0"/>
        <w:contextualSpacing/>
        <w:jc w:val="left"/>
        <w:rPr>
          <w:rFonts w:ascii="Arial" w:hAnsi="Arial"/>
          <w:sz w:val="22"/>
          <w:szCs w:val="22"/>
        </w:rPr>
      </w:pPr>
      <w:r>
        <w:rPr>
          <w:rFonts w:eastAsia="Times New Roman" w:ascii="Arial" w:hAnsi="Arial"/>
          <w:sz w:val="22"/>
          <w:szCs w:val="22"/>
          <w:lang w:eastAsia="pl-PL"/>
        </w:rPr>
        <w:t xml:space="preserve">Wadium proszę </w:t>
      </w:r>
      <w:r>
        <w:rPr>
          <w:rFonts w:ascii="Arial" w:hAnsi="Arial"/>
          <w:sz w:val="22"/>
          <w:szCs w:val="22"/>
          <w:lang w:eastAsia="pl-PL"/>
        </w:rPr>
        <w:t>wpłacić na rachunek bankowy</w:t>
      </w:r>
      <w:r>
        <w:rPr>
          <w:rFonts w:eastAsia="Times New Roman" w:ascii="Arial" w:hAnsi="Arial"/>
          <w:sz w:val="22"/>
          <w:szCs w:val="22"/>
          <w:lang w:eastAsia="pl-PL"/>
        </w:rPr>
        <w:t xml:space="preserve"> </w:t>
      </w:r>
      <w:r>
        <w:rPr>
          <w:rFonts w:ascii="Arial" w:hAnsi="Arial"/>
          <w:sz w:val="22"/>
          <w:szCs w:val="22"/>
        </w:rPr>
        <w:t>prowadzony przez Narodowy Bank Polski Oddział w Gdańsku nr 40 1010 1140 0200 8213 9120 0000</w:t>
      </w:r>
      <w:r>
        <w:rPr>
          <w:rFonts w:eastAsia="Times New Roman" w:ascii="Arial" w:hAnsi="Arial"/>
          <w:sz w:val="22"/>
          <w:szCs w:val="22"/>
          <w:lang w:eastAsia="pl-PL"/>
        </w:rPr>
        <w:t xml:space="preserve">. W treści przelewu proszę zamieścić </w:t>
      </w:r>
      <w:r>
        <w:rPr>
          <w:rFonts w:ascii="Arial" w:hAnsi="Arial"/>
          <w:sz w:val="22"/>
          <w:szCs w:val="22"/>
        </w:rPr>
        <w:t>„wadium egzekucja z nieruchomości GD1G/00247888/4, GD1G/00153579/9”</w:t>
      </w:r>
      <w:r>
        <w:rPr>
          <w:rFonts w:eastAsia="Times New Roman" w:ascii="Arial" w:hAnsi="Arial"/>
          <w:sz w:val="22"/>
          <w:szCs w:val="22"/>
          <w:lang w:eastAsia="pl-PL"/>
        </w:rPr>
        <w:t>.</w:t>
      </w:r>
    </w:p>
    <w:p>
      <w:pPr>
        <w:pStyle w:val="TekstpismaKAS"/>
        <w:widowControl w:val="false"/>
        <w:suppressAutoHyphens w:val="true"/>
        <w:bidi w:val="0"/>
        <w:spacing w:lineRule="auto" w:line="276" w:before="120" w:after="0"/>
        <w:ind w:right="0" w:hanging="0"/>
        <w:contextualSpacing/>
        <w:jc w:val="left"/>
        <w:rPr>
          <w:rFonts w:ascii="Arial" w:hAnsi="Arial"/>
          <w:sz w:val="22"/>
          <w:szCs w:val="22"/>
        </w:rPr>
      </w:pPr>
      <w:r>
        <w:rPr>
          <w:rFonts w:ascii="Arial" w:hAnsi="Arial"/>
          <w:sz w:val="22"/>
          <w:szCs w:val="22"/>
          <w:lang w:eastAsia="pl-PL"/>
        </w:rPr>
        <w:t>Wadium uznam za złożone, jeżeli wpłata zostanie uznana na naszym rachunku najpóźniej w dniu poprzedzającym dzień licytacji.</w:t>
      </w:r>
    </w:p>
    <w:p>
      <w:pPr>
        <w:pStyle w:val="TekstpismaKAS"/>
        <w:widowControl w:val="false"/>
        <w:suppressAutoHyphens w:val="true"/>
        <w:bidi w:val="0"/>
        <w:spacing w:lineRule="auto" w:line="276" w:before="120" w:after="0"/>
        <w:ind w:right="0" w:hanging="0"/>
        <w:contextualSpacing/>
        <w:jc w:val="left"/>
        <w:rPr>
          <w:rFonts w:ascii="Arial" w:hAnsi="Arial"/>
          <w:sz w:val="22"/>
          <w:szCs w:val="22"/>
        </w:rPr>
      </w:pPr>
      <w:r>
        <w:rPr>
          <w:rFonts w:ascii="Arial" w:hAnsi="Arial"/>
          <w:sz w:val="22"/>
          <w:szCs w:val="22"/>
          <w:u w:val="single"/>
          <w:lang w:eastAsia="zh-CN"/>
        </w:rPr>
        <w:t xml:space="preserve">Zatrzymam wadium złożone przez licytanta, któremu udzielimy przybicia. </w:t>
      </w:r>
    </w:p>
    <w:p>
      <w:pPr>
        <w:pStyle w:val="TekstpismaKAS"/>
        <w:widowControl w:val="false"/>
        <w:suppressAutoHyphens w:val="true"/>
        <w:bidi w:val="0"/>
        <w:spacing w:lineRule="auto" w:line="276" w:before="120" w:after="0"/>
        <w:ind w:right="0" w:hanging="0"/>
        <w:contextualSpacing/>
        <w:jc w:val="left"/>
        <w:rPr>
          <w:rFonts w:ascii="Arial" w:hAnsi="Arial"/>
          <w:sz w:val="22"/>
          <w:szCs w:val="22"/>
        </w:rPr>
      </w:pPr>
      <w:r>
        <w:rPr>
          <w:rFonts w:ascii="Arial" w:hAnsi="Arial"/>
          <w:sz w:val="22"/>
          <w:szCs w:val="22"/>
          <w:lang w:eastAsia="zh-CN"/>
        </w:rPr>
        <w:t xml:space="preserve">Pozostałym licytantom zwrócę wadium nie później niż w terminie 7 dni roboczych od dnia licytacji. </w:t>
      </w:r>
    </w:p>
    <w:p>
      <w:pPr>
        <w:pStyle w:val="TekstpismaKAS"/>
        <w:jc w:val="left"/>
        <w:rPr>
          <w:rFonts w:ascii="Arial" w:hAnsi="Arial" w:eastAsia="Cambria" w:cs="Times New Roman"/>
          <w:sz w:val="22"/>
          <w:szCs w:val="22"/>
          <w:lang w:eastAsia="zh-CN"/>
        </w:rPr>
      </w:pPr>
      <w:r>
        <w:rPr>
          <w:rFonts w:eastAsia="Cambria" w:cs="Times New Roman" w:ascii="Arial" w:hAnsi="Arial"/>
          <w:sz w:val="22"/>
          <w:szCs w:val="22"/>
          <w:lang w:eastAsia="zh-CN"/>
        </w:rPr>
      </w:r>
    </w:p>
    <w:p>
      <w:pPr>
        <w:pStyle w:val="Standard"/>
        <w:widowControl/>
        <w:suppressAutoHyphens w:val="true"/>
        <w:overflowPunct w:val="false"/>
        <w:bidi w:val="0"/>
        <w:spacing w:lineRule="auto" w:line="240" w:before="120" w:after="0"/>
        <w:ind w:right="0" w:hanging="0"/>
        <w:jc w:val="left"/>
        <w:textAlignment w:val="baseline"/>
        <w:rPr>
          <w:rFonts w:ascii="Arial" w:hAnsi="Arial"/>
          <w:sz w:val="22"/>
          <w:szCs w:val="22"/>
        </w:rPr>
      </w:pPr>
      <w:r>
        <w:rPr>
          <w:rFonts w:ascii="Arial" w:hAnsi="Arial"/>
          <w:b/>
          <w:bCs/>
          <w:color w:val="C00000"/>
          <w:sz w:val="22"/>
          <w:szCs w:val="22"/>
        </w:rPr>
        <w:t>Termin i miejsce oglądania nieruchomości</w:t>
      </w:r>
    </w:p>
    <w:p>
      <w:pPr>
        <w:pStyle w:val="TekstpismaKAS"/>
        <w:widowControl w:val="false"/>
        <w:suppressAutoHyphens w:val="true"/>
        <w:bidi w:val="0"/>
        <w:spacing w:lineRule="auto" w:line="276" w:before="120" w:after="0"/>
        <w:ind w:right="0" w:hanging="0"/>
        <w:contextualSpacing/>
        <w:jc w:val="left"/>
        <w:rPr>
          <w:rFonts w:ascii="Arial" w:hAnsi="Arial"/>
          <w:sz w:val="22"/>
          <w:szCs w:val="22"/>
        </w:rPr>
      </w:pPr>
      <w:r>
        <w:rPr>
          <w:rFonts w:ascii="Arial" w:hAnsi="Arial"/>
          <w:bCs/>
          <w:sz w:val="22"/>
          <w:szCs w:val="22"/>
        </w:rPr>
        <w:t xml:space="preserve">Nieruchomość można oglądać </w:t>
      </w:r>
      <w:r>
        <w:rPr>
          <w:rFonts w:ascii="Arial" w:hAnsi="Arial"/>
          <w:sz w:val="22"/>
          <w:szCs w:val="22"/>
        </w:rPr>
        <w:t>w terminie od 1</w:t>
      </w:r>
      <w:r>
        <w:rPr>
          <w:rFonts w:ascii="Arial" w:hAnsi="Arial"/>
          <w:sz w:val="22"/>
          <w:szCs w:val="22"/>
        </w:rPr>
        <w:t>0</w:t>
      </w:r>
      <w:r>
        <w:rPr>
          <w:rFonts w:ascii="Arial" w:hAnsi="Arial"/>
          <w:sz w:val="22"/>
          <w:szCs w:val="22"/>
        </w:rPr>
        <w:t>.</w:t>
      </w:r>
      <w:r>
        <w:rPr>
          <w:rFonts w:ascii="Arial" w:hAnsi="Arial"/>
          <w:sz w:val="22"/>
          <w:szCs w:val="22"/>
        </w:rPr>
        <w:t>02</w:t>
      </w:r>
      <w:r>
        <w:rPr>
          <w:rFonts w:ascii="Arial" w:hAnsi="Arial"/>
          <w:sz w:val="22"/>
          <w:szCs w:val="22"/>
        </w:rPr>
        <w:t>.202</w:t>
      </w:r>
      <w:r>
        <w:rPr>
          <w:rFonts w:ascii="Arial" w:hAnsi="Arial"/>
          <w:sz w:val="22"/>
          <w:szCs w:val="22"/>
        </w:rPr>
        <w:t>6</w:t>
      </w:r>
      <w:r>
        <w:rPr>
          <w:rFonts w:ascii="Arial" w:hAnsi="Arial"/>
          <w:sz w:val="22"/>
          <w:szCs w:val="22"/>
        </w:rPr>
        <w:t xml:space="preserve"> roku do 1</w:t>
      </w:r>
      <w:r>
        <w:rPr>
          <w:rFonts w:ascii="Arial" w:hAnsi="Arial"/>
          <w:sz w:val="22"/>
          <w:szCs w:val="22"/>
        </w:rPr>
        <w:t>7</w:t>
      </w:r>
      <w:r>
        <w:rPr>
          <w:rFonts w:ascii="Arial" w:hAnsi="Arial"/>
          <w:sz w:val="22"/>
          <w:szCs w:val="22"/>
        </w:rPr>
        <w:t>.</w:t>
      </w:r>
      <w:r>
        <w:rPr>
          <w:rFonts w:ascii="Arial" w:hAnsi="Arial"/>
          <w:sz w:val="22"/>
          <w:szCs w:val="22"/>
        </w:rPr>
        <w:t>02</w:t>
      </w:r>
      <w:r>
        <w:rPr>
          <w:rFonts w:ascii="Arial" w:hAnsi="Arial"/>
          <w:sz w:val="22"/>
          <w:szCs w:val="22"/>
        </w:rPr>
        <w:t>.202</w:t>
      </w:r>
      <w:r>
        <w:rPr>
          <w:rFonts w:ascii="Arial" w:hAnsi="Arial"/>
          <w:sz w:val="22"/>
          <w:szCs w:val="22"/>
        </w:rPr>
        <w:t>6</w:t>
      </w:r>
      <w:r>
        <w:rPr>
          <w:rFonts w:ascii="Arial" w:hAnsi="Arial"/>
          <w:sz w:val="22"/>
          <w:szCs w:val="22"/>
        </w:rPr>
        <w:t xml:space="preserve"> roku, w dni robocze po wcześniejszym uzgodnieniu z pracownikiem organu egzekucyjnego Panią Żanetą Dera                (tel. 58 773 71 13). W tym samym czasie mogą Państwo przeglądać akta postępowania egzekucyjnego bezpośrednio związane z nieruchomością (protokół opisu i oszacowania wraz                z operatem szacunkowym) w siedzibie Urzędu Skarbowego w Pruszczu Gdańskim (pok. nr 8)</w:t>
      </w:r>
      <w:r>
        <w:rPr>
          <w:rFonts w:ascii="Arial" w:hAnsi="Arial"/>
          <w:color w:val="1F4E79" w:themeColor="accent5" w:themeShade="80"/>
          <w:sz w:val="22"/>
          <w:szCs w:val="22"/>
        </w:rPr>
        <w:t xml:space="preserve">,            </w:t>
      </w:r>
      <w:r>
        <w:rPr>
          <w:rFonts w:ascii="Arial" w:hAnsi="Arial"/>
          <w:sz w:val="22"/>
          <w:szCs w:val="22"/>
        </w:rPr>
        <w:t>w godz. 8:30-14:00.</w:t>
      </w:r>
    </w:p>
    <w:p>
      <w:pPr>
        <w:pStyle w:val="Standard"/>
        <w:spacing w:lineRule="auto" w:line="240" w:before="0" w:after="0"/>
        <w:jc w:val="left"/>
        <w:rPr>
          <w:rFonts w:ascii="Arial" w:hAnsi="Arial"/>
          <w:b/>
          <w:b/>
          <w:bCs/>
          <w:color w:val="C00000"/>
          <w:sz w:val="22"/>
          <w:szCs w:val="22"/>
        </w:rPr>
      </w:pPr>
      <w:r>
        <w:rPr>
          <w:rFonts w:ascii="Arial" w:hAnsi="Arial"/>
          <w:b/>
          <w:bCs/>
          <w:color w:val="C00000"/>
          <w:sz w:val="22"/>
          <w:szCs w:val="22"/>
        </w:rPr>
      </w:r>
    </w:p>
    <w:p>
      <w:pPr>
        <w:pStyle w:val="Standard"/>
        <w:widowControl/>
        <w:suppressAutoHyphens w:val="true"/>
        <w:overflowPunct w:val="false"/>
        <w:bidi w:val="0"/>
        <w:spacing w:lineRule="auto" w:line="240" w:before="120" w:after="0"/>
        <w:ind w:right="0" w:hanging="0"/>
        <w:jc w:val="left"/>
        <w:textAlignment w:val="baseline"/>
        <w:rPr>
          <w:rFonts w:ascii="Arial" w:hAnsi="Arial"/>
          <w:sz w:val="22"/>
          <w:szCs w:val="22"/>
        </w:rPr>
      </w:pPr>
      <w:r>
        <w:rPr>
          <w:rFonts w:ascii="Arial" w:hAnsi="Arial"/>
          <w:b/>
          <w:bCs/>
          <w:color w:val="C00000"/>
          <w:sz w:val="22"/>
          <w:szCs w:val="22"/>
        </w:rPr>
        <w:t>Pozostałe informacje</w:t>
      </w:r>
    </w:p>
    <w:p>
      <w:pPr>
        <w:pStyle w:val="Standard"/>
        <w:widowControl/>
        <w:suppressAutoHyphens w:val="true"/>
        <w:overflowPunct w:val="false"/>
        <w:bidi w:val="0"/>
        <w:spacing w:lineRule="auto" w:line="276" w:before="120" w:after="0"/>
        <w:ind w:right="0" w:hanging="0"/>
        <w:jc w:val="left"/>
        <w:textAlignment w:val="baseline"/>
        <w:rPr>
          <w:rFonts w:ascii="Arial" w:hAnsi="Arial"/>
          <w:sz w:val="22"/>
          <w:szCs w:val="22"/>
        </w:rPr>
      </w:pPr>
      <w:r>
        <w:rPr>
          <w:rFonts w:ascii="Arial" w:hAnsi="Arial"/>
          <w:bCs/>
          <w:sz w:val="22"/>
          <w:szCs w:val="22"/>
        </w:rPr>
        <w:t>Sprzedaż nie jest opodatkowana podatkiem od towarów i usług. Sprzedaż nie jest opodatkowana podatkiem od czynności cywilnoprawnych.</w:t>
      </w:r>
    </w:p>
    <w:p>
      <w:pPr>
        <w:pStyle w:val="Standard"/>
        <w:widowControl/>
        <w:suppressAutoHyphens w:val="true"/>
        <w:overflowPunct w:val="false"/>
        <w:bidi w:val="0"/>
        <w:spacing w:lineRule="auto" w:line="276" w:before="120" w:after="0"/>
        <w:ind w:right="0" w:hanging="0"/>
        <w:jc w:val="left"/>
        <w:textAlignment w:val="baseline"/>
        <w:rPr>
          <w:rFonts w:ascii="Arial" w:hAnsi="Arial"/>
          <w:sz w:val="22"/>
          <w:szCs w:val="22"/>
        </w:rPr>
      </w:pPr>
      <w:r>
        <w:rPr>
          <w:rFonts w:ascii="Arial" w:hAnsi="Arial"/>
          <w:sz w:val="22"/>
          <w:szCs w:val="22"/>
        </w:rPr>
        <w:t>Prawa osób trzecich nie będą przeszkodą do licytacji i przyznania nabywcy własności nieruchomości bez zastrzeżeń, jeżeli osoby te nie wystąpiły wcześniej o wyłączenie nieruchomości lub jej przynależności spod egzekucji.</w:t>
      </w:r>
    </w:p>
    <w:p>
      <w:pPr>
        <w:pStyle w:val="Standard"/>
        <w:widowControl/>
        <w:suppressAutoHyphens w:val="true"/>
        <w:overflowPunct w:val="false"/>
        <w:bidi w:val="0"/>
        <w:spacing w:lineRule="auto" w:line="276" w:before="120" w:after="0"/>
        <w:ind w:right="0" w:hanging="0"/>
        <w:jc w:val="left"/>
        <w:textAlignment w:val="baseline"/>
        <w:rPr>
          <w:rFonts w:ascii="Arial" w:hAnsi="Arial"/>
          <w:sz w:val="22"/>
          <w:szCs w:val="22"/>
        </w:rPr>
      </w:pPr>
      <w:r>
        <w:rPr>
          <w:rFonts w:ascii="Arial" w:hAnsi="Arial"/>
          <w:sz w:val="22"/>
          <w:szCs w:val="22"/>
        </w:rPr>
        <w:t>Użytkowanie, służebności i prawa dożywotnika, jeżeli nie są ujawnione w księdze wieczystej lub przez złożenie dokumentu do zbioru dokumentów i nie zostaną zgłoszone najpóźniej na 3 dni przed rozpoczęciem licytacji, nie będą uwzględnione w dalszym toku egzekucji i wygasną z chwilą, w której postanowienie o przyznaniu własności stanie się ostateczne.</w:t>
      </w:r>
    </w:p>
    <w:p>
      <w:pPr>
        <w:pStyle w:val="WyliczeniaKAS"/>
        <w:numPr>
          <w:ilvl w:val="0"/>
          <w:numId w:val="0"/>
        </w:numPr>
        <w:tabs>
          <w:tab w:val="clear" w:pos="284"/>
          <w:tab w:val="left" w:pos="4459" w:leader="none"/>
        </w:tabs>
        <w:spacing w:lineRule="auto" w:line="276" w:before="0" w:after="0"/>
        <w:ind w:left="0" w:hanging="0"/>
        <w:contextualSpacing/>
        <w:jc w:val="left"/>
        <w:rPr/>
      </w:pPr>
      <w:r>
        <w:rPr>
          <w:rStyle w:val="Markedcontent"/>
          <w:rFonts w:ascii="Arial" w:hAnsi="Arial"/>
          <w:sz w:val="22"/>
          <w:szCs w:val="22"/>
        </w:rPr>
        <w:t>Na czynności organu egzekucyjnego dotyczące obwieszczenia o licytacji przysługuje skarga.</w:t>
      </w:r>
      <w:r>
        <w:rPr>
          <w:rFonts w:ascii="Arial" w:hAnsi="Arial"/>
          <w:sz w:val="22"/>
          <w:szCs w:val="22"/>
        </w:rPr>
        <w:t xml:space="preserve"> </w:t>
      </w:r>
      <w:r>
        <w:rPr>
          <w:rStyle w:val="Markedcontent"/>
          <w:rFonts w:ascii="Arial" w:hAnsi="Arial"/>
          <w:sz w:val="22"/>
          <w:szCs w:val="22"/>
        </w:rPr>
        <w:t>Można ją wnieść w terminie 14 dni od dnia obwieszczenia o licytacji.</w:t>
      </w:r>
    </w:p>
    <w:p>
      <w:pPr>
        <w:pStyle w:val="WyliczeniaKAS"/>
        <w:numPr>
          <w:ilvl w:val="0"/>
          <w:numId w:val="0"/>
        </w:numPr>
        <w:tabs>
          <w:tab w:val="clear" w:pos="284"/>
          <w:tab w:val="left" w:pos="4459" w:leader="none"/>
        </w:tabs>
        <w:spacing w:lineRule="auto" w:line="276" w:before="0" w:after="0"/>
        <w:ind w:left="1070" w:hanging="0"/>
        <w:contextualSpacing/>
        <w:jc w:val="left"/>
        <w:rPr>
          <w:rFonts w:ascii="Arial" w:hAnsi="Arial"/>
          <w:bCs/>
          <w:sz w:val="22"/>
          <w:szCs w:val="22"/>
        </w:rPr>
      </w:pPr>
      <w:r>
        <w:rPr>
          <w:rFonts w:ascii="Arial" w:hAnsi="Arial"/>
          <w:bCs/>
          <w:sz w:val="22"/>
          <w:szCs w:val="22"/>
        </w:rPr>
      </w:r>
    </w:p>
    <w:p>
      <w:pPr>
        <w:pStyle w:val="WyliczeniaKAS"/>
        <w:numPr>
          <w:ilvl w:val="0"/>
          <w:numId w:val="0"/>
        </w:numPr>
        <w:tabs>
          <w:tab w:val="clear" w:pos="284"/>
          <w:tab w:val="left" w:pos="4459" w:leader="none"/>
        </w:tabs>
        <w:spacing w:lineRule="auto" w:line="276" w:before="0" w:after="0"/>
        <w:ind w:left="0" w:hanging="0"/>
        <w:contextualSpacing/>
        <w:jc w:val="left"/>
        <w:rPr>
          <w:rFonts w:ascii="Arial" w:hAnsi="Arial"/>
          <w:sz w:val="22"/>
          <w:szCs w:val="22"/>
        </w:rPr>
      </w:pPr>
      <w:r>
        <w:rPr>
          <w:rFonts w:ascii="Arial" w:hAnsi="Arial"/>
          <w:bCs/>
          <w:sz w:val="22"/>
          <w:szCs w:val="22"/>
        </w:rPr>
        <w:t>Naczelnik Urzędu Skarbowego w Pruszczu Gdańskim zastrzega sobie prawo odwołania licytacji bez podania przyczyny.</w:t>
      </w:r>
    </w:p>
    <w:p>
      <w:pPr>
        <w:pStyle w:val="Standard"/>
        <w:widowControl/>
        <w:suppressAutoHyphens w:val="true"/>
        <w:overflowPunct w:val="true"/>
        <w:bidi w:val="0"/>
        <w:spacing w:lineRule="auto" w:line="276" w:before="0" w:after="0"/>
        <w:ind w:right="0" w:hanging="0"/>
        <w:jc w:val="left"/>
        <w:textAlignment w:val="baseline"/>
        <w:rPr>
          <w:rFonts w:ascii="Arial" w:hAnsi="Arial"/>
          <w:sz w:val="22"/>
          <w:szCs w:val="22"/>
        </w:rPr>
      </w:pPr>
      <w:r>
        <w:rPr>
          <w:rFonts w:ascii="Arial" w:hAnsi="Arial"/>
          <w:sz w:val="22"/>
          <w:szCs w:val="22"/>
        </w:rPr>
      </w:r>
    </w:p>
    <w:p>
      <w:pPr>
        <w:pStyle w:val="Standard"/>
        <w:widowControl/>
        <w:suppressAutoHyphens w:val="true"/>
        <w:overflowPunct w:val="false"/>
        <w:bidi w:val="0"/>
        <w:spacing w:lineRule="auto" w:line="240" w:before="120" w:after="0"/>
        <w:ind w:right="0" w:hanging="0"/>
        <w:jc w:val="left"/>
        <w:textAlignment w:val="baseline"/>
        <w:rPr>
          <w:rFonts w:ascii="Arial" w:hAnsi="Arial"/>
          <w:sz w:val="22"/>
          <w:szCs w:val="22"/>
        </w:rPr>
      </w:pPr>
      <w:r>
        <w:rPr>
          <w:rFonts w:ascii="Arial" w:hAnsi="Arial"/>
          <w:bCs/>
          <w:sz w:val="22"/>
          <w:szCs w:val="22"/>
        </w:rPr>
        <w:t>Szczegółowe informacje można uzyskać w Dziale Egzekucji Administracyjnej:</w:t>
      </w:r>
    </w:p>
    <w:p>
      <w:pPr>
        <w:pStyle w:val="HTMLPreformatted"/>
        <w:tabs>
          <w:tab w:val="clear" w:pos="5496"/>
          <w:tab w:val="left" w:pos="916" w:leader="none"/>
          <w:tab w:val="left" w:pos="1832" w:leader="none"/>
          <w:tab w:val="left" w:pos="2748" w:leader="none"/>
          <w:tab w:val="left" w:pos="3664" w:leader="none"/>
          <w:tab w:val="left" w:pos="4580" w:leader="none"/>
          <w:tab w:val="left" w:pos="5381"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left"/>
        <w:textAlignment w:val="top"/>
        <w:rPr>
          <w:rFonts w:ascii="Arial" w:hAnsi="Arial"/>
          <w:sz w:val="22"/>
          <w:szCs w:val="22"/>
        </w:rPr>
      </w:pPr>
      <w:r>
        <w:rPr>
          <w:rFonts w:ascii="Arial" w:hAnsi="Arial"/>
          <w:sz w:val="22"/>
          <w:szCs w:val="22"/>
        </w:rPr>
      </w:r>
    </w:p>
    <w:p>
      <w:pPr>
        <w:pStyle w:val="TekstpismaKAS"/>
        <w:spacing w:before="0" w:after="0"/>
        <w:contextualSpacing/>
        <w:jc w:val="left"/>
        <w:rPr>
          <w:rFonts w:ascii="Arial" w:hAnsi="Arial"/>
          <w:sz w:val="22"/>
          <w:szCs w:val="22"/>
        </w:rPr>
      </w:pPr>
      <w:r>
        <w:drawing>
          <wp:anchor behindDoc="0" distT="0" distB="635" distL="114300" distR="114935" simplePos="0" locked="0" layoutInCell="0" allowOverlap="1" relativeHeight="12">
            <wp:simplePos x="0" y="0"/>
            <wp:positionH relativeFrom="column">
              <wp:posOffset>19050</wp:posOffset>
            </wp:positionH>
            <wp:positionV relativeFrom="paragraph">
              <wp:posOffset>91440</wp:posOffset>
            </wp:positionV>
            <wp:extent cx="358140" cy="358140"/>
            <wp:effectExtent l="0" t="0" r="0" b="0"/>
            <wp:wrapSquare wrapText="bothSides"/>
            <wp:docPr id="3"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descr=""/>
                    <pic:cNvPicPr>
                      <a:picLocks noChangeAspect="1" noChangeArrowheads="1"/>
                    </pic:cNvPicPr>
                  </pic:nvPicPr>
                  <pic:blipFill>
                    <a:blip r:embed="rId3"/>
                    <a:stretch>
                      <a:fillRect/>
                    </a:stretch>
                  </pic:blipFill>
                  <pic:spPr bwMode="auto">
                    <a:xfrm>
                      <a:off x="0" y="0"/>
                      <a:ext cx="358140" cy="358140"/>
                    </a:xfrm>
                    <a:prstGeom prst="rect">
                      <a:avLst/>
                    </a:prstGeom>
                  </pic:spPr>
                </pic:pic>
              </a:graphicData>
            </a:graphic>
          </wp:anchor>
        </w:drawing>
      </w:r>
      <w:r>
        <w:rPr>
          <w:rFonts w:ascii="Arial" w:hAnsi="Arial"/>
          <w:sz w:val="22"/>
          <w:szCs w:val="22"/>
        </w:rPr>
        <w:t xml:space="preserve">telefonicznie – pod numerem </w:t>
      </w:r>
      <w:r>
        <w:rPr>
          <w:rFonts w:ascii="Arial" w:hAnsi="Arial"/>
          <w:bCs/>
          <w:sz w:val="22"/>
          <w:szCs w:val="22"/>
        </w:rPr>
        <w:t xml:space="preserve">telefonu: </w:t>
        <w:br/>
      </w:r>
      <w:r>
        <w:rPr>
          <w:rFonts w:ascii="Arial" w:hAnsi="Arial"/>
          <w:sz w:val="22"/>
          <w:szCs w:val="22"/>
        </w:rPr>
        <w:t>58 773 71 13</w:t>
      </w:r>
    </w:p>
    <w:p>
      <w:pPr>
        <w:pStyle w:val="TekstpismaKAS"/>
        <w:jc w:val="left"/>
        <w:rPr>
          <w:rFonts w:ascii="Arial" w:hAnsi="Arial"/>
          <w:color w:val="2F5496" w:themeColor="accent1" w:themeShade="bf"/>
          <w:sz w:val="22"/>
          <w:szCs w:val="22"/>
          <w:lang w:eastAsia="pl-PL"/>
        </w:rPr>
      </w:pPr>
      <w:r>
        <w:rPr>
          <w:rFonts w:ascii="Arial" w:hAnsi="Arial"/>
          <w:color w:val="2F5496" w:themeColor="accent1" w:themeShade="bf"/>
          <w:sz w:val="22"/>
          <w:szCs w:val="22"/>
          <w:lang w:eastAsia="pl-PL"/>
        </w:rPr>
      </w:r>
    </w:p>
    <w:p>
      <w:pPr>
        <w:pStyle w:val="TekstpismaKAS"/>
        <w:jc w:val="left"/>
        <w:rPr>
          <w:rFonts w:ascii="Arial" w:hAnsi="Arial"/>
          <w:sz w:val="22"/>
          <w:szCs w:val="22"/>
        </w:rPr>
      </w:pPr>
      <w:r>
        <w:drawing>
          <wp:anchor behindDoc="0" distT="0" distB="0" distL="114300" distR="114300" simplePos="0" locked="0" layoutInCell="0" allowOverlap="1" relativeHeight="13">
            <wp:simplePos x="0" y="0"/>
            <wp:positionH relativeFrom="column">
              <wp:posOffset>2540</wp:posOffset>
            </wp:positionH>
            <wp:positionV relativeFrom="paragraph">
              <wp:posOffset>58420</wp:posOffset>
            </wp:positionV>
            <wp:extent cx="375285" cy="306705"/>
            <wp:effectExtent l="0" t="0" r="0" b="0"/>
            <wp:wrapSquare wrapText="bothSides"/>
            <wp:docPr id="4"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descr=""/>
                    <pic:cNvPicPr>
                      <a:picLocks noChangeAspect="1" noChangeArrowheads="1"/>
                    </pic:cNvPicPr>
                  </pic:nvPicPr>
                  <pic:blipFill>
                    <a:blip r:embed="rId4"/>
                    <a:stretch>
                      <a:fillRect/>
                    </a:stretch>
                  </pic:blipFill>
                  <pic:spPr bwMode="auto">
                    <a:xfrm>
                      <a:off x="0" y="0"/>
                      <a:ext cx="375285" cy="306705"/>
                    </a:xfrm>
                    <a:prstGeom prst="rect">
                      <a:avLst/>
                    </a:prstGeom>
                  </pic:spPr>
                </pic:pic>
              </a:graphicData>
            </a:graphic>
          </wp:anchor>
        </w:drawing>
      </w:r>
      <w:r>
        <w:rPr>
          <w:rFonts w:ascii="Arial" w:hAnsi="Arial"/>
          <w:sz w:val="22"/>
          <w:szCs w:val="22"/>
        </w:rPr>
        <w:t>elektronicznie – napisz na adres:</w:t>
      </w:r>
    </w:p>
    <w:p>
      <w:pPr>
        <w:pStyle w:val="TekstpismaKAS"/>
        <w:jc w:val="left"/>
        <w:rPr>
          <w:rFonts w:ascii="Arial" w:hAnsi="Arial"/>
          <w:sz w:val="22"/>
          <w:szCs w:val="22"/>
        </w:rPr>
      </w:pPr>
      <w:r>
        <w:rPr>
          <w:rFonts w:ascii="Arial" w:hAnsi="Arial"/>
          <w:sz w:val="22"/>
          <w:szCs w:val="22"/>
        </w:rPr>
        <w:t>us.pruszcz.gdanski@mf.gov.pl</w:t>
      </w:r>
    </w:p>
    <w:p>
      <w:pPr>
        <w:pStyle w:val="Standard"/>
        <w:widowControl/>
        <w:suppressAutoHyphens w:val="true"/>
        <w:overflowPunct w:val="false"/>
        <w:bidi w:val="0"/>
        <w:spacing w:lineRule="auto" w:line="276" w:before="120" w:after="0"/>
        <w:ind w:right="0" w:hanging="0"/>
        <w:jc w:val="left"/>
        <w:textAlignment w:val="baseline"/>
        <w:rPr>
          <w:rFonts w:ascii="Arial" w:hAnsi="Arial"/>
          <w:sz w:val="22"/>
          <w:szCs w:val="22"/>
        </w:rPr>
      </w:pPr>
      <w:r>
        <w:rPr>
          <w:rFonts w:ascii="Arial" w:hAnsi="Arial"/>
          <w:bCs/>
          <w:sz w:val="22"/>
          <w:szCs w:val="22"/>
        </w:rPr>
        <w:t>oraz na stronie:</w:t>
      </w:r>
      <w:r>
        <w:rPr>
          <w:rFonts w:ascii="Arial" w:hAnsi="Arial"/>
          <w:sz w:val="22"/>
          <w:szCs w:val="22"/>
        </w:rPr>
        <w:t xml:space="preserve"> </w:t>
      </w:r>
      <w:r>
        <w:rPr>
          <w:rFonts w:ascii="Arial" w:hAnsi="Arial"/>
          <w:bCs/>
          <w:sz w:val="22"/>
          <w:szCs w:val="22"/>
        </w:rPr>
        <w:t>https://www.pomorskie.kas.gov.pl/urzad-skarbowy-w-pruszcz-gdanskim</w:t>
      </w:r>
      <w:r>
        <w:rPr>
          <w:rFonts w:ascii="Arial" w:hAnsi="Arial"/>
          <w:bCs/>
          <w:color w:val="002060"/>
          <w:sz w:val="22"/>
          <w:szCs w:val="22"/>
        </w:rPr>
        <w:t xml:space="preserve">, </w:t>
      </w:r>
      <w:r>
        <w:rPr>
          <w:rFonts w:ascii="Arial" w:hAnsi="Arial"/>
          <w:bCs/>
          <w:sz w:val="22"/>
          <w:szCs w:val="22"/>
        </w:rPr>
        <w:t>w zakładce ogłoszenia - obwieszczenia o licytacji.</w:t>
      </w:r>
    </w:p>
    <w:p>
      <w:pPr>
        <w:pStyle w:val="RdtytuKAS"/>
        <w:jc w:val="left"/>
        <w:rPr>
          <w:rFonts w:ascii="Arial" w:hAnsi="Arial"/>
          <w:sz w:val="22"/>
          <w:szCs w:val="22"/>
        </w:rPr>
      </w:pPr>
      <w:r>
        <w:rPr>
          <w:rFonts w:ascii="Arial" w:hAnsi="Arial"/>
          <w:color w:val="C00000"/>
          <w:sz w:val="22"/>
          <w:szCs w:val="22"/>
          <w:lang w:eastAsia="pl-PL"/>
        </w:rPr>
        <w:t xml:space="preserve">Przepisy prawa: </w:t>
      </w:r>
    </w:p>
    <w:p>
      <w:pPr>
        <w:pStyle w:val="TekstpismaKAS"/>
        <w:jc w:val="left"/>
        <w:rPr>
          <w:rFonts w:ascii="Arial" w:hAnsi="Arial"/>
          <w:sz w:val="22"/>
          <w:szCs w:val="22"/>
        </w:rPr>
      </w:pPr>
      <w:r>
        <w:rPr>
          <w:rFonts w:ascii="Arial" w:hAnsi="Arial"/>
          <w:sz w:val="22"/>
          <w:szCs w:val="22"/>
        </w:rPr>
        <w:t xml:space="preserve">Art. 110w §1 i § 3, art. 110z, art. 111, art. 111d </w:t>
      </w:r>
      <w:r>
        <w:rPr>
          <w:rFonts w:ascii="Arial" w:hAnsi="Arial"/>
          <w:sz w:val="22"/>
          <w:szCs w:val="22"/>
          <w:lang w:eastAsia="pl-PL"/>
        </w:rPr>
        <w:t xml:space="preserve">ustawy z dnia 17 czerwca 1966 r. </w:t>
        <w:br/>
        <w:t>o postępowaniu egzekucyjnym w administracji (Dz.U. z 2025 r. poz. 132, z późn. zm.).</w:t>
      </w:r>
    </w:p>
    <w:p>
      <w:pPr>
        <w:pStyle w:val="TekstpismaKAS"/>
        <w:jc w:val="left"/>
        <w:rPr>
          <w:rFonts w:ascii="Arial" w:hAnsi="Arial"/>
          <w:sz w:val="22"/>
          <w:szCs w:val="22"/>
          <w:lang w:eastAsia="pl-PL"/>
        </w:rPr>
      </w:pPr>
      <w:r>
        <w:rPr>
          <w:rFonts w:ascii="Arial" w:hAnsi="Arial"/>
          <w:sz w:val="22"/>
          <w:szCs w:val="22"/>
          <w:lang w:eastAsia="pl-PL"/>
        </w:rPr>
      </w:r>
    </w:p>
    <w:p>
      <w:pPr>
        <w:pStyle w:val="TekstpismaKAS"/>
        <w:jc w:val="both"/>
        <w:rPr>
          <w:rFonts w:ascii="Lato" w:hAnsi="Lato"/>
          <w:lang w:eastAsia="pl-PL"/>
        </w:rPr>
      </w:pPr>
      <w:r>
        <w:rPr>
          <w:rFonts w:ascii="Lato" w:hAnsi="Lato"/>
          <w:lang w:eastAsia="pl-PL"/>
        </w:rPr>
      </w:r>
    </w:p>
    <w:p>
      <w:pPr>
        <w:pStyle w:val="TekstpismaKAS"/>
        <w:jc w:val="both"/>
        <w:rPr>
          <w:rFonts w:ascii="Lato" w:hAnsi="Lato"/>
          <w:lang w:eastAsia="pl-PL"/>
        </w:rPr>
      </w:pPr>
      <w:r>
        <w:rPr>
          <w:rFonts w:ascii="Lato" w:hAnsi="Lato"/>
          <w:lang w:eastAsia="pl-PL"/>
        </w:rPr>
      </w:r>
    </w:p>
    <w:p>
      <w:pPr>
        <w:pStyle w:val="Normal"/>
        <w:tabs>
          <w:tab w:val="clear" w:pos="284"/>
          <w:tab w:val="left" w:pos="0" w:leader="none"/>
        </w:tabs>
        <w:spacing w:lineRule="auto" w:line="276" w:before="0" w:after="0"/>
        <w:ind w:left="3600" w:hanging="0"/>
        <w:jc w:val="center"/>
        <w:rPr>
          <w:rFonts w:ascii="Arial" w:hAnsi="Arial"/>
          <w:sz w:val="22"/>
          <w:szCs w:val="22"/>
        </w:rPr>
      </w:pPr>
      <w:r>
        <w:rPr>
          <w:rFonts w:ascii="Arial" w:hAnsi="Arial"/>
          <w:b/>
          <w:sz w:val="22"/>
          <w:szCs w:val="22"/>
        </w:rPr>
        <w:t>Z up. Naczelnika</w:t>
      </w:r>
    </w:p>
    <w:p>
      <w:pPr>
        <w:pStyle w:val="Normal"/>
        <w:tabs>
          <w:tab w:val="clear" w:pos="284"/>
          <w:tab w:val="left" w:pos="0" w:leader="none"/>
        </w:tabs>
        <w:spacing w:lineRule="auto" w:line="276" w:before="0" w:after="0"/>
        <w:ind w:left="3600" w:hanging="0"/>
        <w:jc w:val="center"/>
        <w:rPr>
          <w:rFonts w:ascii="Arial" w:hAnsi="Arial"/>
          <w:sz w:val="22"/>
          <w:szCs w:val="22"/>
        </w:rPr>
      </w:pPr>
      <w:r>
        <w:rPr>
          <w:rFonts w:ascii="Arial" w:hAnsi="Arial"/>
          <w:b/>
          <w:sz w:val="22"/>
          <w:szCs w:val="22"/>
        </w:rPr>
        <w:t>Urzędu Skarbowego w Pruszczu Gdańskim</w:t>
      </w:r>
    </w:p>
    <w:p>
      <w:pPr>
        <w:pStyle w:val="Normal"/>
        <w:tabs>
          <w:tab w:val="clear" w:pos="284"/>
          <w:tab w:val="left" w:pos="0" w:leader="none"/>
        </w:tabs>
        <w:spacing w:lineRule="auto" w:line="276" w:before="0" w:after="0"/>
        <w:ind w:left="3600" w:hanging="0"/>
        <w:jc w:val="center"/>
        <w:rPr>
          <w:rFonts w:ascii="Arial" w:hAnsi="Arial"/>
          <w:sz w:val="22"/>
          <w:szCs w:val="22"/>
        </w:rPr>
      </w:pPr>
      <w:r>
        <w:rPr>
          <w:rFonts w:ascii="Arial" w:hAnsi="Arial"/>
          <w:b/>
          <w:sz w:val="22"/>
          <w:szCs w:val="22"/>
        </w:rPr>
        <w:t>Karolina Lewińska</w:t>
      </w:r>
    </w:p>
    <w:p>
      <w:pPr>
        <w:pStyle w:val="Normal"/>
        <w:tabs>
          <w:tab w:val="clear" w:pos="284"/>
          <w:tab w:val="left" w:pos="0" w:leader="none"/>
        </w:tabs>
        <w:spacing w:lineRule="auto" w:line="276" w:before="0" w:after="0"/>
        <w:ind w:left="3600" w:hanging="0"/>
        <w:jc w:val="center"/>
        <w:rPr>
          <w:rFonts w:ascii="Arial" w:hAnsi="Arial"/>
          <w:sz w:val="22"/>
          <w:szCs w:val="22"/>
        </w:rPr>
      </w:pPr>
      <w:r>
        <w:rPr>
          <w:rFonts w:ascii="Arial" w:hAnsi="Arial"/>
          <w:b/>
          <w:sz w:val="22"/>
          <w:szCs w:val="22"/>
        </w:rPr>
        <w:t>Kierownik Działu</w:t>
      </w:r>
    </w:p>
    <w:p>
      <w:pPr>
        <w:pStyle w:val="Normal"/>
        <w:tabs>
          <w:tab w:val="clear" w:pos="284"/>
          <w:tab w:val="left" w:pos="0" w:leader="none"/>
        </w:tabs>
        <w:spacing w:lineRule="auto" w:line="276" w:before="0" w:after="0"/>
        <w:ind w:left="3600" w:hanging="0"/>
        <w:jc w:val="center"/>
        <w:rPr>
          <w:rFonts w:ascii="Arial" w:hAnsi="Arial"/>
          <w:sz w:val="22"/>
          <w:szCs w:val="22"/>
        </w:rPr>
      </w:pPr>
      <w:r>
        <w:rPr>
          <w:rFonts w:ascii="Arial" w:hAnsi="Arial"/>
          <w:b/>
          <w:sz w:val="22"/>
          <w:szCs w:val="22"/>
        </w:rPr>
        <w:t>/podpisano kwalifikowanym</w:t>
      </w:r>
    </w:p>
    <w:p>
      <w:pPr>
        <w:pStyle w:val="Normal"/>
        <w:tabs>
          <w:tab w:val="clear" w:pos="284"/>
          <w:tab w:val="left" w:pos="0" w:leader="none"/>
        </w:tabs>
        <w:spacing w:lineRule="auto" w:line="276" w:before="0" w:after="0"/>
        <w:ind w:left="3600" w:hanging="0"/>
        <w:jc w:val="center"/>
        <w:rPr>
          <w:rFonts w:ascii="Arial" w:hAnsi="Arial"/>
          <w:sz w:val="22"/>
          <w:szCs w:val="22"/>
        </w:rPr>
      </w:pPr>
      <w:r>
        <w:rPr>
          <w:rFonts w:ascii="Arial" w:hAnsi="Arial"/>
          <w:b/>
          <w:sz w:val="22"/>
          <w:szCs w:val="22"/>
        </w:rPr>
        <w:t>podpisem elektronicznym/</w:t>
      </w:r>
    </w:p>
    <w:p>
      <w:pPr>
        <w:pStyle w:val="Normal"/>
        <w:rPr>
          <w:sz w:val="18"/>
          <w:szCs w:val="18"/>
        </w:rPr>
      </w:pPr>
      <w:r>
        <w:rPr>
          <w:sz w:val="18"/>
          <w:szCs w:val="18"/>
        </w:rPr>
      </w:r>
    </w:p>
    <w:p>
      <w:pPr>
        <w:pStyle w:val="Normal"/>
        <w:rPr>
          <w:rFonts w:ascii="Lato" w:hAnsi="Lato"/>
          <w:sz w:val="18"/>
          <w:szCs w:val="18"/>
        </w:rPr>
      </w:pPr>
      <w:r>
        <w:rPr>
          <w:rFonts w:ascii="Lato" w:hAnsi="Lato"/>
          <w:sz w:val="18"/>
          <w:szCs w:val="18"/>
        </w:rPr>
      </w:r>
    </w:p>
    <w:p>
      <w:pPr>
        <w:pStyle w:val="Normal"/>
        <w:rPr>
          <w:rFonts w:ascii="Arial" w:hAnsi="Arial"/>
          <w:sz w:val="22"/>
          <w:szCs w:val="22"/>
        </w:rPr>
      </w:pPr>
      <w:r>
        <w:rPr>
          <w:rFonts w:ascii="Arial" w:hAnsi="Arial"/>
          <w:sz w:val="22"/>
          <w:szCs w:val="22"/>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rPr>
          <w:rFonts w:ascii="Arial" w:hAnsi="Arial"/>
          <w:sz w:val="22"/>
          <w:szCs w:val="22"/>
        </w:rPr>
      </w:pPr>
      <w:r>
        <w:rPr>
          <w:rFonts w:ascii="Arial" w:hAnsi="Arial"/>
          <w:sz w:val="22"/>
          <w:szCs w:val="22"/>
        </w:rPr>
        <w:t xml:space="preserve">Pismo zostało utrwalone w postaci elektronicznej i podpisane kwalifikowanym podpisem elektronicznym. </w:t>
      </w:r>
    </w:p>
    <w:p>
      <w:pPr>
        <w:pStyle w:val="Normal"/>
        <w:rPr>
          <w:rFonts w:ascii="Arial" w:hAnsi="Arial"/>
          <w:sz w:val="22"/>
          <w:szCs w:val="22"/>
        </w:rPr>
      </w:pPr>
      <w:r>
        <w:rPr>
          <w:rFonts w:ascii="Arial" w:hAnsi="Arial"/>
          <w:sz w:val="22"/>
          <w:szCs w:val="22"/>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
        <w:rPr>
          <w:rFonts w:ascii="Arial" w:hAnsi="Arial"/>
          <w:sz w:val="22"/>
          <w:szCs w:val="22"/>
        </w:rPr>
      </w:pPr>
      <w:r>
        <w:rPr>
          <w:rFonts w:cs="Calibri" w:ascii="Arial" w:hAnsi="Arial" w:cstheme="minorHAnsi"/>
          <w:sz w:val="22"/>
          <w:szCs w:val="22"/>
        </w:rPr>
        <w:t>Wydruk niniejszego pisma stanowi dowód tego, co zostało stwierdzone w piśmie wydanym w postaci elektronicznej (art. 39³ § 4 Kodeksu postępowania administracyjnego).</w:t>
      </w:r>
      <w:r>
        <w:rPr>
          <w:rFonts w:ascii="Arial" w:hAnsi="Arial"/>
          <w:b/>
          <w:sz w:val="22"/>
          <w:szCs w:val="22"/>
        </w:rPr>
        <w:t xml:space="preserve"> </w:t>
      </w:r>
    </w:p>
    <w:p>
      <w:pPr>
        <w:pStyle w:val="TekstpismaKAS"/>
        <w:jc w:val="both"/>
        <w:rPr>
          <w:rFonts w:ascii="Lato" w:hAnsi="Lato"/>
          <w:lang w:eastAsia="pl-PL"/>
        </w:rPr>
      </w:pPr>
      <w:r>
        <w:rPr/>
      </w:r>
    </w:p>
    <w:sectPr>
      <w:headerReference w:type="default" r:id="rId5"/>
      <w:footerReference w:type="default" r:id="rId6"/>
      <w:type w:val="nextPage"/>
      <w:pgSz w:w="11906" w:h="16838"/>
      <w:pgMar w:left="1275" w:right="1134" w:header="709" w:top="1134" w:footer="709"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Courier New">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rPr>
        <w:rFonts w:cs="Calibri"/>
        <w:lang w:val="en-US"/>
      </w:rPr>
    </w:pPr>
    <w:r>
      <mc:AlternateContent>
        <mc:Choice Requires="wps">
          <w:drawing>
            <wp:anchor behindDoc="1" distT="4445" distB="4445" distL="4445" distR="4445" simplePos="0" locked="0" layoutInCell="0" allowOverlap="1" relativeHeight="6" wp14:anchorId="17C6D123">
              <wp:simplePos x="0" y="0"/>
              <wp:positionH relativeFrom="column">
                <wp:posOffset>5760720</wp:posOffset>
              </wp:positionH>
              <wp:positionV relativeFrom="bottomMargin">
                <wp:align>top</wp:align>
              </wp:positionV>
              <wp:extent cx="726440" cy="312420"/>
              <wp:effectExtent l="0" t="0" r="0" b="0"/>
              <wp:wrapNone/>
              <wp:docPr id="5" name="Pole tekstowe 2"/>
              <a:graphic xmlns:a="http://schemas.openxmlformats.org/drawingml/2006/main">
                <a:graphicData uri="http://schemas.microsoft.com/office/word/2010/wordprocessingShape">
                  <wps:wsp>
                    <wps:cNvSpPr/>
                    <wps:spPr>
                      <a:xfrm>
                        <a:off x="0" y="0"/>
                        <a:ext cx="725760" cy="31176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3</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3</w:t>
                          </w:r>
                          <w:r>
                            <w:rPr>
                              <w:b/>
                              <w:bCs/>
                              <w:color w:val="000000"/>
                            </w:rPr>
                            <w:fldChar w:fldCharType="end"/>
                          </w:r>
                        </w:p>
                        <w:p>
                          <w:pPr>
                            <w:pStyle w:val="Zawartoramki"/>
                            <w:spacing w:before="0" w:after="160"/>
                            <w:rPr>
                              <w:color w:val="000000"/>
                            </w:rPr>
                          </w:pPr>
                          <w:r>
                            <w:rPr>
                              <w:color w:val="000000"/>
                            </w:rPr>
                          </w:r>
                        </w:p>
                      </w:txbxContent>
                    </wps:txbx>
                    <wps:bodyPr>
                      <a:noAutofit/>
                    </wps:bodyPr>
                  </wps:wsp>
                </a:graphicData>
              </a:graphic>
            </wp:anchor>
          </w:drawing>
        </mc:Choice>
        <mc:Fallback>
          <w:pict>
            <v:rect id="shape_0" ID="Pole tekstowe 2" path="m0,0l-2147483645,0l-2147483645,-2147483646l0,-2147483646xe" stroked="f" style="position:absolute;margin-left:453.6pt;margin-top:0pt;width:57.1pt;height:24.5pt;mso-wrap-style:square;v-text-anchor:top;mso-position-vertical:top" wp14:anchorId="17C6D123">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3</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3</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9">
          <wp:simplePos x="0" y="0"/>
          <wp:positionH relativeFrom="margin">
            <wp:align>left</wp:align>
          </wp:positionH>
          <wp:positionV relativeFrom="bottomMargin">
            <wp:align>top</wp:align>
          </wp:positionV>
          <wp:extent cx="1216660" cy="269875"/>
          <wp:effectExtent l="0" t="0" r="0" b="0"/>
          <wp:wrapNone/>
          <wp:docPr id="7"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lang w:val="en-US"/>
      </w:rPr>
      <w:t xml:space="preserve">e-mail: us.pruszcz.gdanski@mf.gov.pl </w:t>
    </w:r>
    <w:r>
      <w:rPr>
        <w:rFonts w:cs="Calibri" w:cstheme="minorHAnsi"/>
        <w:lang w:val="en-US"/>
      </w:rPr>
      <w:t>●</w:t>
    </w:r>
    <w:r>
      <w:rPr>
        <w:rFonts w:cs="Calibri"/>
        <w:lang w:val="en-US"/>
      </w:rPr>
      <w:t xml:space="preserve"> ePUAP </w:t>
    </w:r>
    <w:r>
      <w:rPr>
        <w:rFonts w:eastAsia="Times New Roman" w:cs="Arial" w:ascii="Arial" w:hAnsi="Arial"/>
        <w:sz w:val="16"/>
        <w:szCs w:val="16"/>
        <w:lang w:eastAsia="pl-PL"/>
      </w:rPr>
      <w:t>/6wb012jfms/SkrytkaESP</w:t>
    </w:r>
    <w:r>
      <w:rPr>
        <w:rFonts w:cs="Calibri"/>
        <w:lang w:val="en-US"/>
      </w:rPr>
      <w:t xml:space="preserve"> </w:t>
    </w:r>
    <w:r>
      <w:rPr>
        <w:rFonts w:cs="Calibri" w:cstheme="minorHAnsi"/>
        <w:lang w:val="en-US"/>
      </w:rPr>
      <w:t>●</w:t>
    </w:r>
    <w:r>
      <w:rPr>
        <w:rFonts w:cs="Calibri"/>
        <w:lang w:val="en-US"/>
      </w:rPr>
      <w:t xml:space="preserve"> http://www.pomorskie.kas.gov.pl/urzad-skarbowy-w-pruszczu-gdanskim</w:t>
    </w:r>
  </w:p>
  <w:p>
    <w:pPr>
      <w:pStyle w:val="StopkaKAS"/>
      <w:rPr>
        <w:rFonts w:cs="Calibri"/>
      </w:rPr>
    </w:pPr>
    <w:r>
      <w:rPr>
        <w:rFonts w:cs="Calibri"/>
      </w:rPr>
      <w:t>Urząd Skarbowy w Pruszczu Gdańskim, ul. Ignacego Łukasiewicza 2, 83-000 Pruszcz Gdański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1134"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sz w:val="22"/>
        <w:b/>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284"/>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11da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qFormat/>
    <w:rsid w:val="00d01abb"/>
    <w:rPr>
      <w:color w:val="0563C1"/>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a847b9"/>
    <w:rPr>
      <w:rFonts w:eastAsia="" w:cs="Calibri" w:cstheme="minorHAnsi" w:eastAsiaTheme="majorEastAsia"/>
      <w:b/>
      <w:sz w:val="32"/>
      <w:szCs w:val="32"/>
    </w:rPr>
  </w:style>
  <w:style w:type="character" w:styleId="TekstpismaKASZnak" w:customStyle="1">
    <w:name w:val="Tekst pisma KAS Znak"/>
    <w:basedOn w:val="TekstpodstawowyZnak"/>
    <w:link w:val="TekstpismaKAS"/>
    <w:uiPriority w:val="1"/>
    <w:qFormat/>
    <w:rsid w:val="0017559c"/>
    <w:rPr>
      <w:rFonts w:eastAsia="Lato" w:cs="Calibri" w:cstheme="minorHAnsi"/>
      <w:sz w:val="24"/>
      <w:szCs w:val="24"/>
    </w:rPr>
  </w:style>
  <w:style w:type="character" w:styleId="RdtytuKASZnak" w:customStyle="1">
    <w:name w:val="Śródtytuł KAS Znak"/>
    <w:basedOn w:val="Nagwek2Znak"/>
    <w:link w:val="rdtytuKAS"/>
    <w:qFormat/>
    <w:rsid w:val="00bb0ed5"/>
    <w:rPr>
      <w:rFonts w:eastAsia="" w:cs="Calibri" w:cstheme="minorHAnsi" w:eastAsiaTheme="majorEastAsia"/>
      <w:b/>
      <w:color w:val="E31837"/>
      <w:sz w:val="28"/>
      <w:szCs w:val="26"/>
    </w:rPr>
  </w:style>
  <w:style w:type="character" w:styleId="WyliczeniaKASZnak" w:customStyle="1">
    <w:name w:val="Wyliczenia KAS Znak"/>
    <w:basedOn w:val="DefaultParagraphFont"/>
    <w:link w:val="WyliczeniaKAS"/>
    <w:qFormat/>
    <w:rsid w:val="00bb0ed5"/>
    <w:rPr>
      <w:rFonts w:eastAsia="Lato" w:cs="Calibri" w:cstheme="minorHAnsi"/>
      <w:sz w:val="24"/>
    </w:rPr>
  </w:style>
  <w:style w:type="character" w:styleId="CytatKASZnak" w:customStyle="1">
    <w:name w:val="Cytat KAS Znak"/>
    <w:basedOn w:val="DefaultParagraphFont"/>
    <w:link w:val="CytatKAS"/>
    <w:uiPriority w:val="6"/>
    <w:qFormat/>
    <w:rsid w:val="00bb0ed5"/>
    <w:rPr>
      <w:rFonts w:eastAsia="Lato" w:cs="Calibri" w:cstheme="minorHAnsi"/>
    </w:rPr>
  </w:style>
  <w:style w:type="character" w:styleId="MetrykapismaKASZnak" w:customStyle="1">
    <w:name w:val="Metryka pisma KAS Znak"/>
    <w:basedOn w:val="DefaultParagraphFont"/>
    <w:link w:val="MetrykapismaKAS"/>
    <w:qFormat/>
    <w:rsid w:val="007d712d"/>
    <w:rPr>
      <w:rFonts w:cs="Calibri" w:cstheme="minorHAnsi"/>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qFormat/>
    <w:rsid w:val="00bb0ed5"/>
    <w:rPr>
      <w:sz w:val="20"/>
      <w:szCs w:val="20"/>
    </w:rPr>
  </w:style>
  <w:style w:type="character" w:styleId="StopkaKASZnak" w:customStyle="1">
    <w:name w:val="Stopka KAS Znak"/>
    <w:basedOn w:val="RODOKASZnak"/>
    <w:link w:val="StopkaKAS"/>
    <w:qFormat/>
    <w:rsid w:val="00ce751f"/>
    <w:rPr>
      <w:sz w:val="18"/>
      <w:szCs w:val="18"/>
      <w:lang w:val="fr-FR"/>
    </w:rPr>
  </w:style>
  <w:style w:type="character" w:styleId="NumerowanieKASZnak" w:customStyle="1">
    <w:name w:val="Numerowanie KAS Znak"/>
    <w:basedOn w:val="TekstpismaKASZnak"/>
    <w:link w:val="NumerowanieKAS"/>
    <w:qFormat/>
    <w:rsid w:val="00bb0ed5"/>
    <w:rPr>
      <w:rFonts w:eastAsia="Lato" w:cs="Calibri" w:cstheme="minorHAnsi"/>
      <w:sz w:val="24"/>
      <w:szCs w:val="24"/>
    </w:rPr>
  </w:style>
  <w:style w:type="character" w:styleId="HTMLwstpniesformatowanyZnak" w:customStyle="1">
    <w:name w:val="HTML - wstępnie sformatowany Znak"/>
    <w:basedOn w:val="DefaultParagraphFont"/>
    <w:link w:val="HTML-wstpniesformatowany"/>
    <w:qFormat/>
    <w:rsid w:val="00d01abb"/>
    <w:rPr>
      <w:rFonts w:ascii="Courier New" w:hAnsi="Courier New" w:eastAsia="Times New Roman" w:cs="Courier New"/>
      <w:sz w:val="20"/>
      <w:szCs w:val="20"/>
    </w:rPr>
  </w:style>
  <w:style w:type="character" w:styleId="Eop">
    <w:name w:val="eop"/>
    <w:basedOn w:val="DefaultParagraphFont"/>
    <w:qFormat/>
    <w:rPr/>
  </w:style>
  <w:style w:type="character" w:styleId="Teksttreci">
    <w:name w:val="Tekst treści_"/>
    <w:basedOn w:val="DefaultParagraphFont"/>
    <w:qFormat/>
    <w:rPr>
      <w:b w:val="false"/>
      <w:i w:val="false"/>
      <w:caps w:val="false"/>
      <w:smallCaps w:val="false"/>
      <w:strike w:val="false"/>
      <w:dstrike w:val="false"/>
      <w:sz w:val="23"/>
      <w:u w:val="none"/>
    </w:rPr>
  </w:style>
  <w:style w:type="character" w:styleId="Znakinumeracji">
    <w:name w:val="Znaki numeracji"/>
    <w:qFormat/>
    <w:rPr/>
  </w:style>
  <w:style w:type="character" w:styleId="Markedcontent">
    <w:name w:val="markedcontent"/>
    <w:basedOn w:val="DefaultParagraphFont"/>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a847b9"/>
    <w:pPr>
      <w:spacing w:before="240" w:after="360"/>
      <w:contextualSpacing/>
    </w:pPr>
    <w:rPr>
      <w:rFonts w:cs="Calibri" w:cstheme="minorHAnsi"/>
    </w:rPr>
  </w:style>
  <w:style w:type="paragraph" w:styleId="TekstpismaKAS" w:customStyle="1">
    <w:name w:val="Tekst pisma KAS"/>
    <w:basedOn w:val="Tretekstu"/>
    <w:link w:val="TekstpismaKASZnak"/>
    <w:uiPriority w:val="1"/>
    <w:qFormat/>
    <w:rsid w:val="0017559c"/>
    <w:pPr>
      <w:spacing w:lineRule="auto" w:line="276" w:before="120" w:after="0"/>
      <w:contextualSpacing/>
    </w:pPr>
    <w:rPr>
      <w:rFonts w:cs="Calibri" w:cstheme="minorHAnsi"/>
      <w:szCs w:val="24"/>
    </w:rPr>
  </w:style>
  <w:style w:type="paragraph" w:styleId="RdtytuKAS" w:customStyle="1">
    <w:name w:val="Śródtytuł KAS"/>
    <w:basedOn w:val="Nagwek2"/>
    <w:link w:val="rdtytuKASZnak"/>
    <w:qFormat/>
    <w:rsid w:val="00bb0ed5"/>
    <w:pPr>
      <w:spacing w:before="240" w:after="0"/>
      <w:contextualSpacing/>
    </w:pPr>
    <w:rPr>
      <w:rFonts w:cs="Calibri" w:cstheme="minorHAnsi"/>
    </w:rPr>
  </w:style>
  <w:style w:type="paragraph" w:styleId="WyliczeniaKAS" w:customStyle="1">
    <w:name w:val="Wyliczenia KAS"/>
    <w:basedOn w:val="Normal"/>
    <w:link w:val="WyliczeniaKASZnak"/>
    <w:qFormat/>
    <w:rsid w:val="00bb0ed5"/>
    <w:pPr>
      <w:widowControl w:val="false"/>
      <w:numPr>
        <w:ilvl w:val="0"/>
        <w:numId w:val="1"/>
      </w:numPr>
      <w:spacing w:lineRule="auto" w:line="276" w:before="120" w:after="0"/>
      <w:ind w:left="426" w:hanging="284"/>
      <w:contextualSpacing/>
    </w:pPr>
    <w:rPr>
      <w:rFonts w:eastAsia="Lato" w:cs="Calibri" w:cstheme="minorHAnsi"/>
      <w:sz w:val="24"/>
    </w:rPr>
  </w:style>
  <w:style w:type="paragraph" w:styleId="CytatKAS" w:customStyle="1">
    <w:name w:val="Cytat KAS"/>
    <w:basedOn w:val="Normal"/>
    <w:link w:val="CytatKASZnak"/>
    <w:uiPriority w:val="6"/>
    <w:qFormat/>
    <w:rsid w:val="00bb0ed5"/>
    <w:pPr>
      <w:widowControl w:val="false"/>
      <w:pBdr>
        <w:left w:val="single" w:sz="4" w:space="8" w:color="E31837"/>
      </w:pBdr>
      <w:spacing w:lineRule="auto" w:line="276" w:before="120" w:after="0"/>
      <w:ind w:left="454" w:hanging="0"/>
      <w:contextualSpacing/>
    </w:pPr>
    <w:rPr>
      <w:rFonts w:eastAsia="Lato" w:cs="Calibri" w:cstheme="minorHAnsi"/>
    </w:rPr>
  </w:style>
  <w:style w:type="paragraph" w:styleId="MetrykapismaKAS" w:customStyle="1">
    <w:name w:val="Metryka pisma KAS"/>
    <w:basedOn w:val="Normal"/>
    <w:link w:val="MetrykapismaKASZnak"/>
    <w:qFormat/>
    <w:rsid w:val="007d712d"/>
    <w:pPr>
      <w:spacing w:before="0" w:after="0"/>
      <w:ind w:left="1418" w:right="4253" w:hanging="1418"/>
    </w:pPr>
    <w:rPr>
      <w:rFonts w:cs="Calibri" w:cstheme="minorHAnsi"/>
    </w:rPr>
  </w:style>
  <w:style w:type="paragraph" w:styleId="RODOKAS" w:customStyle="1">
    <w:name w:val="RODO KAS"/>
    <w:basedOn w:val="NoSpacing"/>
    <w:link w:val="RODOKASZnak"/>
    <w:qFormat/>
    <w:rsid w:val="00bb0ed5"/>
    <w:pPr>
      <w:spacing w:lineRule="auto" w:line="259" w:before="0" w:after="0"/>
      <w:contextualSpacing/>
    </w:pPr>
    <w:rPr>
      <w:sz w:val="20"/>
      <w:szCs w:val="20"/>
    </w:rPr>
  </w:style>
  <w:style w:type="paragraph" w:styleId="StopkaKAS" w:customStyle="1">
    <w:name w:val="Stopka KAS"/>
    <w:basedOn w:val="RODOKAS"/>
    <w:link w:val="StopkaKASZnak"/>
    <w:qFormat/>
    <w:rsid w:val="00ce751f"/>
    <w:pPr>
      <w:pBdr>
        <w:left w:val="single" w:sz="4" w:space="4" w:color="000000"/>
      </w:pBdr>
      <w:ind w:left="2127" w:hanging="0"/>
    </w:pPr>
    <w:rPr>
      <w:sz w:val="18"/>
      <w:szCs w:val="18"/>
    </w:rPr>
  </w:style>
  <w:style w:type="paragraph" w:styleId="NumerowanieKAS" w:customStyle="1">
    <w:name w:val="Numerowanie KAS"/>
    <w:basedOn w:val="TekstpismaKAS"/>
    <w:link w:val="NumerowanieKASZnak"/>
    <w:qFormat/>
    <w:rsid w:val="00bb0ed5"/>
    <w:pPr>
      <w:numPr>
        <w:ilvl w:val="0"/>
        <w:numId w:val="2"/>
      </w:numPr>
      <w:ind w:left="284" w:hanging="284"/>
    </w:pPr>
    <w:rPr/>
  </w:style>
  <w:style w:type="paragraph" w:styleId="Prawo" w:customStyle="1">
    <w:name w:val="Prawo"/>
    <w:basedOn w:val="Tretekstu"/>
    <w:qFormat/>
    <w:rsid w:val="00484d7f"/>
    <w:pPr>
      <w:pBdr>
        <w:left w:val="single" w:sz="4" w:space="8" w:color="000000"/>
      </w:pBdr>
      <w:spacing w:before="160" w:after="120"/>
      <w:ind w:left="454" w:hanging="0"/>
    </w:pPr>
    <w:rPr>
      <w:sz w:val="22"/>
    </w:rPr>
  </w:style>
  <w:style w:type="paragraph" w:styleId="ListParagraph">
    <w:name w:val="List Paragraph"/>
    <w:basedOn w:val="Normal"/>
    <w:uiPriority w:val="34"/>
    <w:qFormat/>
    <w:rsid w:val="00c4100e"/>
    <w:pPr>
      <w:spacing w:before="0" w:after="160"/>
      <w:ind w:left="720" w:hanging="0"/>
      <w:contextualSpacing/>
    </w:pPr>
    <w:rPr/>
  </w:style>
  <w:style w:type="paragraph" w:styleId="Standard" w:customStyle="1">
    <w:name w:val="Standard"/>
    <w:qFormat/>
    <w:rsid w:val="00573136"/>
    <w:pPr>
      <w:widowControl/>
      <w:suppressAutoHyphens w:val="true"/>
      <w:overflowPunct w:val="false"/>
      <w:bidi w:val="0"/>
      <w:spacing w:lineRule="auto" w:line="252" w:before="0" w:after="160"/>
      <w:jc w:val="left"/>
      <w:textAlignment w:val="baseline"/>
    </w:pPr>
    <w:rPr>
      <w:rFonts w:ascii="Calibri" w:hAnsi="Calibri" w:eastAsia="Calibri" w:cs="Tahoma" w:asciiTheme="minorHAnsi" w:eastAsiaTheme="minorHAnsi" w:hAnsiTheme="minorHAnsi"/>
      <w:color w:val="auto"/>
      <w:kern w:val="0"/>
      <w:sz w:val="22"/>
      <w:szCs w:val="22"/>
      <w:lang w:val="pl-PL" w:eastAsia="en-US" w:bidi="ar-SA"/>
    </w:rPr>
  </w:style>
  <w:style w:type="paragraph" w:styleId="HTMLPreformatted">
    <w:name w:val="HTML Preformatted"/>
    <w:basedOn w:val="Standard"/>
    <w:link w:val="HTML-wstpniesformatowanyZnak"/>
    <w:qFormat/>
    <w:rsid w:val="00d01abb"/>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NormalWeb">
    <w:name w:val="Normal (Web)"/>
    <w:basedOn w:val="Normal"/>
    <w:uiPriority w:val="99"/>
    <w:unhideWhenUsed/>
    <w:qFormat/>
    <w:rsid w:val="009b2b0c"/>
    <w:pPr>
      <w:spacing w:lineRule="auto" w:line="240" w:beforeAutospacing="1" w:after="119"/>
    </w:pPr>
    <w:rPr>
      <w:rFonts w:ascii="Times New Roman" w:hAnsi="Times New Roman" w:eastAsia="Times New Roman" w:cs="Times New Roman"/>
      <w:sz w:val="24"/>
      <w:szCs w:val="24"/>
      <w:lang w:eastAsia="pl-PL"/>
    </w:rPr>
  </w:style>
  <w:style w:type="paragraph" w:styleId="Western" w:customStyle="1">
    <w:name w:val="western"/>
    <w:basedOn w:val="Normal"/>
    <w:qFormat/>
    <w:rsid w:val="007a0c06"/>
    <w:pPr>
      <w:spacing w:lineRule="auto" w:line="240" w:beforeAutospacing="1" w:after="119"/>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gi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Application>LibreOffice/7.1.8.1$Windows_X86_64 LibreOffice_project/e1f30c802c3269a1d052614453f260e49458c82c</Application>
  <AppVersion>15.0000</AppVersion>
  <Pages>3</Pages>
  <Words>839</Words>
  <Characters>5714</Characters>
  <CharactersWithSpaces>6646</CharactersWithSpaces>
  <Paragraphs>52</Paragraphs>
  <Company>IAS Szczecin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2024-12-04T13:27:00Z</dcterms:created>
  <dc:creator>Pietrucha Monika;Staszak Anetta;Urbala Andrzej</dc:creator>
  <dc:description/>
  <dc:language>pl-PL</dc:language>
  <cp:lastModifiedBy/>
  <cp:lastPrinted>2025-07-21T08:46:48Z</cp:lastPrinted>
  <dcterms:modified xsi:type="dcterms:W3CDTF">2026-01-05T12:35:17Z</dcterms:modified>
  <cp:revision>29</cp:revision>
  <dc:subject>Obwieszczenie o licytacji</dc:subject>
  <dc:title>Egzekucja z nieruchomości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Slownie">
    <vt:lpwstr>$AktualnaDataSlownie</vt:lpwstr>
  </property>
  <property fmtid="{D5CDD505-2E9C-101B-9397-08002B2CF9AE}" pid="3" name="Autor">
    <vt:lpwstr>$Nazwisko Imię</vt:lpwstr>
  </property>
  <property fmtid="{D5CDD505-2E9C-101B-9397-08002B2CF9AE}" pid="4" name="AutorEmail">
    <vt:lpwstr>$e-Mail</vt:lpwstr>
  </property>
  <property fmtid="{D5CDD505-2E9C-101B-9397-08002B2CF9AE}" pid="5" name="AutorNrTelefonu">
    <vt:lpwstr>$Nr telefonu</vt:lpwstr>
  </property>
  <property fmtid="{D5CDD505-2E9C-101B-9397-08002B2CF9AE}" pid="6" name="DLPManualFileClassification">
    <vt:lpwstr>{2755b7d9-e53d-4779-a40c-03797dcf43b3}</vt:lpwstr>
  </property>
  <property fmtid="{D5CDD505-2E9C-101B-9397-08002B2CF9AE}" pid="7" name="DaneJednostki1">
    <vt:lpwstr>$Nazwa Jednostki</vt:lpwstr>
  </property>
  <property fmtid="{D5CDD505-2E9C-101B-9397-08002B2CF9AE}" pid="8" name="DaneJednostki10">
    <vt:lpwstr>$NAZWA ORGANU</vt:lpwstr>
  </property>
  <property fmtid="{D5CDD505-2E9C-101B-9397-08002B2CF9AE}" pid="9" name="DaneJednostki11">
    <vt:lpwstr>$ePUAP</vt:lpwstr>
  </property>
  <property fmtid="{D5CDD505-2E9C-101B-9397-08002B2CF9AE}" pid="10" name="DaneJednostki12">
    <vt:lpwstr>$Dyrektor/Naczelnik - Linia 12</vt:lpwstr>
  </property>
  <property fmtid="{D5CDD505-2E9C-101B-9397-08002B2CF9AE}" pid="11" name="DaneJednostki13">
    <vt:lpwstr>$Urzędu/Izby - Linia 13</vt:lpwstr>
  </property>
  <property fmtid="{D5CDD505-2E9C-101B-9397-08002B2CF9AE}" pid="12" name="DaneJednostki14">
    <vt:lpwstr>$w Mieście - linia 14</vt:lpwstr>
  </property>
  <property fmtid="{D5CDD505-2E9C-101B-9397-08002B2CF9AE}" pid="13" name="DaneJednostki2">
    <vt:lpwstr>$Miejscowość</vt:lpwstr>
  </property>
  <property fmtid="{D5CDD505-2E9C-101B-9397-08002B2CF9AE}" pid="14" name="DaneJednostki3">
    <vt:lpwstr>$Kod Pocztowy</vt:lpwstr>
  </property>
  <property fmtid="{D5CDD505-2E9C-101B-9397-08002B2CF9AE}" pid="15" name="DaneJednostki4">
    <vt:lpwstr>$Ulica</vt:lpwstr>
  </property>
  <property fmtid="{D5CDD505-2E9C-101B-9397-08002B2CF9AE}" pid="16" name="DaneJednostki5">
    <vt:lpwstr>$Nr Domu</vt:lpwstr>
  </property>
  <property fmtid="{D5CDD505-2E9C-101B-9397-08002B2CF9AE}" pid="17" name="DaneJednostki6">
    <vt:lpwstr>$Telefon</vt:lpwstr>
  </property>
  <property fmtid="{D5CDD505-2E9C-101B-9397-08002B2CF9AE}" pid="18" name="DaneJednostki7">
    <vt:lpwstr>$Fax</vt:lpwstr>
  </property>
  <property fmtid="{D5CDD505-2E9C-101B-9397-08002B2CF9AE}" pid="19" name="DaneJednostki8">
    <vt:lpwstr>$e-Mail</vt:lpwstr>
  </property>
  <property fmtid="{D5CDD505-2E9C-101B-9397-08002B2CF9AE}" pid="20" name="DaneJednostki9">
    <vt:lpwstr>$www.strona.pl</vt:lpwstr>
  </property>
  <property fmtid="{D5CDD505-2E9C-101B-9397-08002B2CF9AE}" pid="21" name="KodKreskowy">
    <vt:lpwstr>$Kod Kreskowy</vt:lpwstr>
  </property>
  <property fmtid="{D5CDD505-2E9C-101B-9397-08002B2CF9AE}" pid="22" name="MFCATEGORY">
    <vt:lpwstr>InformacjePubliczneInformacjeSektoraPublicznego</vt:lpwstr>
  </property>
  <property fmtid="{D5CDD505-2E9C-101B-9397-08002B2CF9AE}" pid="23" name="MFClassificationDate">
    <vt:lpwstr>2021-12-03T08:41:18.1260973+01:00</vt:lpwstr>
  </property>
  <property fmtid="{D5CDD505-2E9C-101B-9397-08002B2CF9AE}" pid="24" name="MFClassifiedBy">
    <vt:lpwstr>UxC4dwLulzfINJ8nQH+xvX5LNGipWa4BRSZhPgxsCvlfKoU0fxnIuCmhIX5qM2WnOcpIefOe4vJUA2Zr54lXSA==</vt:lpwstr>
  </property>
  <property fmtid="{D5CDD505-2E9C-101B-9397-08002B2CF9AE}" pid="25" name="MFClassifiedBySID">
    <vt:lpwstr>UxC4dwLulzfINJ8nQH+xvX5LNGipWa4BRSZhPgxsCvm42mrIC/DSDv0ggS+FjUN/2v1BBotkLlY5aAiEhoi6uX0qY6P02zQudLWe4cOsg52sMoeIqfw4M6Dzw7flOT2E</vt:lpwstr>
  </property>
  <property fmtid="{D5CDD505-2E9C-101B-9397-08002B2CF9AE}" pid="26" name="MFGRNItemId">
    <vt:lpwstr>GRN-daa7402e-1618-4f89-aaad-2ee3eae5b525</vt:lpwstr>
  </property>
  <property fmtid="{D5CDD505-2E9C-101B-9397-08002B2CF9AE}" pid="27" name="MFHash">
    <vt:lpwstr>RyM/xb+rSZupyivCRS2OUg3449q6yooTSYmRHY5dMo8=</vt:lpwstr>
  </property>
  <property fmtid="{D5CDD505-2E9C-101B-9397-08002B2CF9AE}" pid="28" name="MFRefresh">
    <vt:lpwstr>False</vt:lpwstr>
  </property>
  <property fmtid="{D5CDD505-2E9C-101B-9397-08002B2CF9AE}" pid="29" name="MFVisualMarkingsSettings">
    <vt:lpwstr>HeaderAlignment=1;FooterAlignment=1</vt:lpwstr>
  </property>
  <property fmtid="{D5CDD505-2E9C-101B-9397-08002B2CF9AE}" pid="30" name="Stanowisko">
    <vt:lpwstr>$Stanowisko</vt:lpwstr>
  </property>
  <property fmtid="{D5CDD505-2E9C-101B-9397-08002B2CF9AE}" pid="31" name="TrescPisma">
    <vt:lpwstr>$Treść Pisma</vt:lpwstr>
  </property>
  <property fmtid="{D5CDD505-2E9C-101B-9397-08002B2CF9AE}" pid="32" name="UNPPisma">
    <vt:lpwstr>$UNP Pisma</vt:lpwstr>
  </property>
  <property fmtid="{D5CDD505-2E9C-101B-9397-08002B2CF9AE}" pid="33" name="ZnakSprawy">
    <vt:lpwstr>$Znak Sprawy</vt:lpwstr>
  </property>
  <property fmtid="{D5CDD505-2E9C-101B-9397-08002B2CF9AE}" pid="34" name="adresImie">
    <vt:lpwstr>$Imię adresata</vt:lpwstr>
  </property>
  <property fmtid="{D5CDD505-2E9C-101B-9397-08002B2CF9AE}" pid="35" name="adresKodPocztowy">
    <vt:lpwstr>$Kod Pocztowy</vt:lpwstr>
  </property>
  <property fmtid="{D5CDD505-2E9C-101B-9397-08002B2CF9AE}" pid="36" name="adresMiejscowosc">
    <vt:lpwstr>$Miejscowość</vt:lpwstr>
  </property>
  <property fmtid="{D5CDD505-2E9C-101B-9397-08002B2CF9AE}" pid="37" name="adresNIP">
    <vt:lpwstr>$NIP</vt:lpwstr>
  </property>
  <property fmtid="{D5CDD505-2E9C-101B-9397-08002B2CF9AE}" pid="38" name="adresNazwa">
    <vt:lpwstr>$Nazwa adresata</vt:lpwstr>
  </property>
  <property fmtid="{D5CDD505-2E9C-101B-9397-08002B2CF9AE}" pid="39" name="adresNazwisko">
    <vt:lpwstr>$Nazwisko adresata</vt:lpwstr>
  </property>
  <property fmtid="{D5CDD505-2E9C-101B-9397-08002B2CF9AE}" pid="40" name="adresNrDomu">
    <vt:lpwstr>$Nr Domu</vt:lpwstr>
  </property>
  <property fmtid="{D5CDD505-2E9C-101B-9397-08002B2CF9AE}" pid="41" name="adresNrLokalu">
    <vt:lpwstr>$Nr Lokalu</vt:lpwstr>
  </property>
  <property fmtid="{D5CDD505-2E9C-101B-9397-08002B2CF9AE}" pid="42" name="adresPESEL">
    <vt:lpwstr>$PESEL</vt:lpwstr>
  </property>
  <property fmtid="{D5CDD505-2E9C-101B-9397-08002B2CF9AE}" pid="43" name="adresUlica">
    <vt:lpwstr>$Ulica</vt:lpwstr>
  </property>
</Properties>
</file>