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58420</wp:posOffset>
            </wp:positionH>
            <wp:positionV relativeFrom="paragraph">
              <wp:posOffset>-46990</wp:posOffset>
            </wp:positionV>
            <wp:extent cx="635000" cy="706755"/>
            <wp:effectExtent l="0" t="0" r="0" b="0"/>
            <wp:wrapNone/>
            <wp:docPr id="1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0" t="-1227" r="-1370" b="-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 xml:space="preserve">NACZELNIK </w:t>
      </w:r>
    </w:p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URZĘDU SKARBOWEGO </w:t>
      </w:r>
    </w:p>
    <w:p>
      <w:pPr>
        <w:pStyle w:val="Normal"/>
        <w:tabs>
          <w:tab w:val="clear" w:pos="709"/>
        </w:tabs>
        <w:spacing w:lineRule="auto" w:line="276"/>
        <w:ind w:hanging="0" w:left="1247" w:right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KOŚCIERZYNIE</w:t>
      </w:r>
    </w:p>
    <w:p>
      <w:pPr>
        <w:pStyle w:val="Normal"/>
        <w:tabs>
          <w:tab w:val="clear" w:pos="709"/>
        </w:tabs>
        <w:spacing w:lineRule="auto" w:line="276"/>
        <w:ind w:hanging="0" w:left="0" w:right="0"/>
        <w:jc w:val="lef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______________________________________________________________________________</w:t>
      </w:r>
    </w:p>
    <w:p>
      <w:pPr>
        <w:pStyle w:val="Normal"/>
        <w:widowControl w:val="false"/>
        <w:tabs>
          <w:tab w:val="clear" w:pos="709"/>
        </w:tabs>
        <w:suppressAutoHyphens w:val="false"/>
        <w:overflowPunct w:val="false"/>
        <w:bidi w:val="0"/>
        <w:spacing w:lineRule="auto" w:line="276" w:before="0" w:after="0"/>
        <w:ind w:hanging="0" w:left="4932" w:right="0"/>
        <w:jc w:val="left"/>
        <w:rPr>
          <w:rFonts w:ascii="Lato" w:hAnsi="Lato" w:cs="Times New Roman"/>
          <w:b w:val="false"/>
          <w:bCs w:val="false"/>
          <w:sz w:val="24"/>
          <w:szCs w:val="24"/>
        </w:rPr>
      </w:pPr>
      <w:r>
        <w:rPr>
          <w:rFonts w:cs="Times New Roman" w:ascii="Lato" w:hAnsi="Lato"/>
          <w:b w:val="false"/>
          <w:bCs w:val="false"/>
          <w:sz w:val="24"/>
          <w:szCs w:val="24"/>
        </w:rPr>
        <w:t>Kościerzyna, dnia 2</w:t>
      </w:r>
      <w:r>
        <w:rPr>
          <w:rFonts w:cs="Times New Roman" w:ascii="Lato" w:hAnsi="Lato"/>
          <w:b w:val="false"/>
          <w:bCs w:val="false"/>
          <w:sz w:val="24"/>
          <w:szCs w:val="24"/>
        </w:rPr>
        <w:t>6</w:t>
      </w:r>
      <w:r>
        <w:rPr>
          <w:rFonts w:cs="Times New Roman" w:ascii="Lato" w:hAnsi="Lato"/>
          <w:b w:val="false"/>
          <w:bCs w:val="false"/>
          <w:sz w:val="24"/>
          <w:szCs w:val="24"/>
        </w:rPr>
        <w:t xml:space="preserve"> stycznia 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I licytacji publicznej ruchomości należącej do Dariusza Dawidowskiego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 xml:space="preserve"> 2</w:t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>6</w:t>
      </w:r>
      <w:r>
        <w:rPr>
          <w:rStyle w:val="Nagwek2Znak"/>
          <w:rFonts w:ascii="Lato" w:hAnsi="Lato"/>
          <w:b w:val="false"/>
          <w:i w:val="false"/>
          <w:iCs w:val="false"/>
          <w:color w:val="000000"/>
          <w:sz w:val="24"/>
          <w:szCs w:val="24"/>
        </w:rPr>
        <w:t xml:space="preserve"> lutego 2026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 roku, godz. 10.00.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  <w:lang w:val="pl-PL" w:eastAsia="en-US" w:bidi="ar-SA"/>
        </w:rPr>
        <w:t>Miejsce</w:t>
      </w:r>
      <w:r>
        <w:rPr>
          <w:rStyle w:val="Nagwek2Znak"/>
          <w:rFonts w:ascii="Lato" w:hAnsi="Lato"/>
          <w:color w:val="FF0000"/>
          <w:lang w:val="pl-PL" w:eastAsia="en-US" w:bidi="ar-SA"/>
        </w:rPr>
        <w:tab/>
      </w:r>
      <w:r>
        <w:rPr>
          <w:rFonts w:ascii="Lato" w:hAnsi="Lato"/>
          <w:lang w:val="pl-PL" w:eastAsia="en-US" w:bidi="ar-SA"/>
        </w:rPr>
        <w:tab/>
        <w:t xml:space="preserve"> parking strzeżony w Kościerzynie ul. Towarowa 4.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>
      <w:pPr>
        <w:pStyle w:val="BodyText"/>
        <w:rPr/>
      </w:pPr>
      <w:r>
        <w:rPr/>
      </w:r>
    </w:p>
    <w:tbl>
      <w:tblPr>
        <w:tblW w:w="9014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12"/>
        <w:gridCol w:w="2783"/>
        <w:gridCol w:w="1255"/>
        <w:gridCol w:w="1367"/>
        <w:gridCol w:w="1232"/>
        <w:gridCol w:w="1764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Lato" w:hAnsi="Lat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Samoch</w:t>
            </w: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ód osobowy</w:t>
            </w:r>
          </w:p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PEUGEOT PARTNER, rok prod. 2016, nr rej.</w:t>
            </w:r>
          </w:p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GKS GH76,</w:t>
            </w:r>
          </w:p>
          <w:p>
            <w:pPr>
              <w:pStyle w:val="Normal"/>
              <w:bidi w:val="0"/>
              <w:jc w:val="left"/>
              <w:rPr>
                <w:rFonts w:ascii="Lato" w:hAnsi="Lato"/>
                <w:b w:val="false"/>
                <w:bCs w:val="false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nr VIN: VF37JBH6GJ791885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33.000,00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24.750,00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cs="Arial" w:ascii="Lato" w:hAnsi="Lato"/>
                <w:bCs/>
                <w:sz w:val="22"/>
                <w:szCs w:val="22"/>
              </w:rPr>
              <w:t>3.300,00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Data pierwszej rej. 30.09.2016,  pojazd ubezpieczony polisą korporacyjną nr COR719753, badanie techniczne ważne do 12.04.2026 roku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Cena wywołania wynosi 3/4 wartości szacunkowej zajętej ruchomości.</w:t>
      </w:r>
    </w:p>
    <w:p>
      <w:pPr>
        <w:pStyle w:val="Normal"/>
        <w:suppressAutoHyphens w:val="true"/>
        <w:spacing w:lineRule="auto" w:line="276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/>
          <w:bCs/>
          <w:color w:val="C9211E"/>
          <w:sz w:val="28"/>
          <w:szCs w:val="28"/>
        </w:rPr>
        <w:t>Wadium</w:t>
      </w:r>
    </w:p>
    <w:p>
      <w:pPr>
        <w:pStyle w:val="BodyText"/>
        <w:suppressAutoHyphens w:val="true"/>
        <w:spacing w:lineRule="auto" w:line="276" w:before="0" w:after="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Warunkiem przystąpienia do licytacji ruchomości jest wpłata wadium.</w:t>
      </w:r>
    </w:p>
    <w:p>
      <w:pPr>
        <w:pStyle w:val="BodyText"/>
        <w:suppressAutoHyphens w:val="true"/>
        <w:spacing w:lineRule="auto" w:line="276" w:before="0" w:after="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Wadium można uiścić: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1) dokonując przelewu na rachunek depozytowy organu egzekucyjnego: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Urząd Skarbowy w Kościerzynie nr 03 1010 1140 0144 3013 9120 0000.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 treści przelewu proszę zamieścić słowo „Wadium” i oznaczenie ruchomości, której dotyczy wpłata.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Lato" w:hAnsi="Lato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Wadium w postaci przelewu uznam za złożone, jeżeli wpłata zostanie uznana na naszym rachunku bankowym najpóźniej w dniu poprzedzającym dzień licytacji.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417" w:right="1134" w:gutter="0" w:header="0" w:top="567" w:footer="709" w:bottom="1544"/>
          <w:pgNumType w:fmt="decimal"/>
          <w:formProt w:val="false"/>
          <w:textDirection w:val="lrTb"/>
          <w:docGrid w:type="default" w:linePitch="312" w:charSpace="0"/>
        </w:sect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 xml:space="preserve">2) gotówką do rąk pracownika organu egzekucyjnego w Urzędzie Skarbowym w 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Kościerzynie pokój 17 (nie później niż na godzinę przed terminem rozpoczęcia licytacji).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3) bezgotówkowo przy użyciu terminala płatniczego w Urzędzie Skarbowym w Kościerzynie pokój 17  (nie później niż na godzinę przed terminem rozpoczęcia licytacji);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  <w:u w:val="single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u w:val="single"/>
        </w:rPr>
        <w:t>Zatrzymam wadium złożone przez licytanta, któremu udzielimy przybicia.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Pozostałym licytantom zwrócę wadium: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1) wpłacone bezgotówkowo: nie później niż w terminie 7 dni roboczych od dnia licytacji;</w:t>
      </w:r>
    </w:p>
    <w:p>
      <w:pPr>
        <w:pStyle w:val="BodyText"/>
        <w:tabs>
          <w:tab w:val="clear" w:pos="709"/>
          <w:tab w:val="left" w:pos="1188" w:leader="none"/>
        </w:tabs>
        <w:suppressAutoHyphens w:val="true"/>
        <w:spacing w:lineRule="auto" w:line="276" w:before="0" w:after="0"/>
        <w:jc w:val="both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</w:rPr>
        <w:t>2) wpłacone w gotówce – niezwłocznie.</w:t>
      </w:r>
    </w:p>
    <w:p>
      <w:pPr>
        <w:pStyle w:val="Normal"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Lato" w:hAnsi="Lato"/>
          <w:b w:val="false"/>
          <w:bCs w:val="false"/>
          <w:sz w:val="24"/>
          <w:szCs w:val="24"/>
        </w:rPr>
      </w:pPr>
      <w:r>
        <w:rPr>
          <w:rFonts w:ascii="Lato" w:hAnsi="Lato"/>
          <w:b w:val="false"/>
          <w:bCs w:val="false"/>
          <w:sz w:val="24"/>
          <w:szCs w:val="2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Ruchomości można oglądać w dniu 2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6</w:t>
      </w:r>
      <w:r>
        <w:rPr>
          <w:rFonts w:ascii="Lato" w:hAnsi="La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lutego 2026 roku od godz. 9.30 do godz. 10.00  na parkingu strzeżonym w Kościerzynie przy ul. Towarowej 4.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i/>
          <w:color w:themeColor="accent1" w:themeShade="bf" w:val="2F5496"/>
          <w:sz w:val="24"/>
          <w:szCs w:val="24"/>
          <w:lang w:eastAsia="pl-PL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Sprzedaż jest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organowi egzekucyjnemu niezwłocznie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t xml:space="preserve">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635" distL="114300" distR="114935" simplePos="0" locked="0" layoutInCell="0" allowOverlap="1" relativeHeight="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58 680 89 25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7">
        <w:r>
          <w:rPr>
            <w:rStyle w:val="Hyperlink"/>
            <w:rFonts w:ascii="Lato" w:hAnsi="Lato"/>
            <w:bCs/>
            <w:sz w:val="24"/>
            <w:szCs w:val="24"/>
          </w:rPr>
          <w:t>https://www.pomorskie.kas.gov.pl/urzad-skarbowy-w-koscierzynie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  <w:t>Zastrzegam sobie prawo odwołania licytacji bez podania przyczyny i nie odpowiadam za wady ukryte i stan techniczny ruchomości.</w:t>
      </w:r>
    </w:p>
    <w:p>
      <w:pPr>
        <w:pStyle w:val="RdtytuKAS"/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pPr>
      <w:r>
        <w:rPr>
          <w:rFonts w:ascii="Lato" w:hAnsi="Lato"/>
          <w:b w:val="false"/>
          <w:bCs w:val="false"/>
          <w:color w:val="000000"/>
          <w:sz w:val="24"/>
          <w:szCs w:val="24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tabs>
          <w:tab w:val="clear" w:pos="709"/>
        </w:tabs>
        <w:suppressAutoHyphens w:val="true"/>
        <w:spacing w:lineRule="auto" w:line="276" w:before="0" w:after="0"/>
        <w:ind w:hanging="0" w:left="0" w:right="0"/>
        <w:contextualSpacing w:val="false"/>
        <w:jc w:val="left"/>
        <w:rPr>
          <w:rFonts w:ascii="Lato" w:hAnsi="Lato"/>
          <w:lang w:eastAsia="pl-PL"/>
        </w:rPr>
      </w:pPr>
      <w:r>
        <w:rPr>
          <w:rStyle w:val="Hyperlink"/>
          <w:rFonts w:ascii="Lato" w:hAnsi="Lato"/>
          <w:b/>
          <w:bCs/>
          <w:color w:val="auto"/>
          <w:sz w:val="20"/>
          <w:szCs w:val="20"/>
          <w:lang w:eastAsia="pl-PL"/>
        </w:rPr>
        <w:t>Art. 105 – art. 105a, art. 105c - 107 ustawy z dnia 17 czerwca 1966 r. o postępowaniu egzekucyjnym w administracji (Dz.U. z 2025 r. poz. 132, z późn. zm.).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417" w:right="1134" w:gutter="0" w:header="0" w:top="1134" w:footer="567" w:bottom="121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>_________________________________________________________________________________________________________</w:t>
    </w:r>
  </w:p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ab/>
      <w:tab/>
    </w:r>
    <w:r>
      <w:rPr>
        <w:rFonts w:ascii="Arial" w:hAnsi="Arial"/>
        <w:b/>
        <w:bCs/>
        <w:color w:val="000000"/>
        <w:sz w:val="16"/>
        <w:szCs w:val="16"/>
      </w:rPr>
      <w:fldChar w:fldCharType="begin"/>
    </w:r>
    <w:r>
      <w:rPr>
        <w:sz w:val="16"/>
        <w:b/>
        <w:szCs w:val="16"/>
        <w:bCs/>
        <w:rFonts w:ascii="Arial" w:hAnsi="Arial"/>
        <w:color w:val="000000"/>
      </w:rPr>
      <w:instrText xml:space="preserve"> PAGE </w:instrText>
    </w:r>
    <w:r>
      <w:rPr>
        <w:sz w:val="16"/>
        <w:b/>
        <w:szCs w:val="16"/>
        <w:bCs/>
        <w:rFonts w:ascii="Arial" w:hAnsi="Arial"/>
        <w:color w:val="000000"/>
      </w:rPr>
      <w:fldChar w:fldCharType="separate"/>
    </w:r>
    <w:r>
      <w:rPr>
        <w:sz w:val="16"/>
        <w:b/>
        <w:szCs w:val="16"/>
        <w:bCs/>
        <w:rFonts w:ascii="Arial" w:hAnsi="Arial"/>
        <w:color w:val="000000"/>
      </w:rPr>
      <w:t>2</w:t>
    </w:r>
    <w:r>
      <w:rPr>
        <w:sz w:val="16"/>
        <w:b/>
        <w:szCs w:val="16"/>
        <w:bCs/>
        <w:rFonts w:ascii="Arial" w:hAnsi="Arial"/>
        <w:color w:val="000000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>_________________________________________________________________________________________________________</w:t>
    </w:r>
  </w:p>
  <w:p>
    <w:pPr>
      <w:pStyle w:val="Footer"/>
      <w:rPr>
        <w:rFonts w:ascii="Arial" w:hAnsi="Arial"/>
        <w:color w:val="999999"/>
        <w:sz w:val="16"/>
        <w:szCs w:val="16"/>
      </w:rPr>
    </w:pPr>
    <w:r>
      <w:rPr>
        <w:rFonts w:ascii="Arial" w:hAnsi="Arial"/>
        <w:color w:val="999999"/>
        <w:sz w:val="16"/>
        <w:szCs w:val="16"/>
      </w:rPr>
      <w:tab/>
      <w:tab/>
    </w:r>
    <w:r>
      <w:rPr>
        <w:rFonts w:ascii="Arial" w:hAnsi="Arial"/>
        <w:b/>
        <w:bCs/>
        <w:color w:val="000000"/>
        <w:sz w:val="16"/>
        <w:szCs w:val="16"/>
      </w:rPr>
      <w:fldChar w:fldCharType="begin"/>
    </w:r>
    <w:r>
      <w:rPr>
        <w:sz w:val="16"/>
        <w:b/>
        <w:szCs w:val="16"/>
        <w:bCs/>
        <w:rFonts w:ascii="Arial" w:hAnsi="Arial"/>
        <w:color w:val="000000"/>
      </w:rPr>
      <w:instrText xml:space="preserve"> PAGE </w:instrText>
    </w:r>
    <w:r>
      <w:rPr>
        <w:sz w:val="16"/>
        <w:b/>
        <w:szCs w:val="16"/>
        <w:bCs/>
        <w:rFonts w:ascii="Arial" w:hAnsi="Arial"/>
        <w:color w:val="000000"/>
      </w:rPr>
      <w:fldChar w:fldCharType="separate"/>
    </w:r>
    <w:r>
      <w:rPr>
        <w:sz w:val="16"/>
        <w:b/>
        <w:szCs w:val="16"/>
        <w:bCs/>
        <w:rFonts w:ascii="Arial" w:hAnsi="Arial"/>
        <w:color w:val="000000"/>
      </w:rPr>
      <w:t>2</w:t>
    </w:r>
    <w:r>
      <w:rPr>
        <w:sz w:val="16"/>
        <w:b/>
        <w:szCs w:val="16"/>
        <w:bCs/>
        <w:rFonts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DejaVu Sans" w:cs="DejaVu Sans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DejaVu Sans" w:cs="DejaVu Sans" w:cstheme="majorBidi" w:eastAsiaTheme="majorEastAsia"/>
      <w:b/>
      <w:color w:val="E31837"/>
      <w:sz w:val="28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eastAsia="SimSun" w:cs="Times New Roman"/>
      <w:b/>
      <w:szCs w:val="24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eastAsia="DejaVu Sans" w:cs="DejaVu Sans" w:cstheme="majorBidi" w:eastAsiaTheme="majorEastAsia"/>
      <w:b/>
      <w:color w:val="E31837"/>
      <w:sz w:val="28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ramki">
    <w:name w:val="Zawartość ramki"/>
    <w:basedOn w:val="BodyText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Arial" w:cstheme="minorHAns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Arial" w:hAnsi="Arial" w:eastAsia="Arial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Arial" w:cstheme="minorHAnsi"/>
      <w:szCs w:val="24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Arial" w:cstheme="minorHAns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2.wmf"/><Relationship Id="rId7" Type="http://schemas.openxmlformats.org/officeDocument/2006/relationships/hyperlink" Target="https://www.xxx.kas.gov.pl/urzad-skarbowy-xxx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LibreOffice/24.2.2.2$Windows_X86_64 LibreOffice_project/d56cc158d8a96260b836f100ef4b4ef25d6f1a01</Application>
  <AppVersion>15.0000</AppVersion>
  <Pages>2</Pages>
  <Words>425</Words>
  <Characters>2946</Characters>
  <CharactersWithSpaces>3337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2024-10-24T11:02:39Z</dcterms:created>
  <dc:creator/>
  <dc:description/>
  <dc:language>pl-PL</dc:language>
  <cp:lastModifiedBy/>
  <cp:lastPrinted>2026-01-26T07:00:11Z</cp:lastPrinted>
  <dcterms:modified xsi:type="dcterms:W3CDTF">2026-01-26T07:00:20Z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2025-09-12T10:13:33.3263743+02:00</vt:lpwstr>
  </property>
  <property fmtid="{D5CDD505-2E9C-101B-9397-08002B2CF9AE}" pid="5" name="MFClassifiedBy">
    <vt:lpwstr>UxC4dwLulzfINJ8nQH+xvX5LNGipWa4BRSZhPgxsCvkPOwIlZCY7myMeP1xMD11u+1QLeFUdreQhdvQ1RKVMUA==</vt:lpwstr>
  </property>
  <property fmtid="{D5CDD505-2E9C-101B-9397-08002B2CF9AE}" pid="6" name="MFClassifiedBySID">
    <vt:lpwstr>UxC4dwLulzfINJ8nQH+xvX5LNGipWa4BRSZhPgxsCvm42mrIC/DSDv0ggS+FjUN/2v1BBotkLlY5aAiEhoi6uZWdS5HXwUOOMYjqoQHPgKJym3vzjLQJe8Areku+fnIj</vt:lpwstr>
  </property>
  <property fmtid="{D5CDD505-2E9C-101B-9397-08002B2CF9AE}" pid="7" name="MFGRNItemId">
    <vt:lpwstr>GRN-745271c1-8147-4c66-8f5f-f61ecf3945f7</vt:lpwstr>
  </property>
  <property fmtid="{D5CDD505-2E9C-101B-9397-08002B2CF9AE}" pid="8" name="MFHash">
    <vt:lpwstr>o0FDbx3YsGV/+xmCIcLroFwhl8Y2+tViwMCi6ywL/YM=</vt:lpwstr>
  </property>
  <property fmtid="{D5CDD505-2E9C-101B-9397-08002B2CF9AE}" pid="9" name="MFRefresh">
    <vt:lpwstr>True</vt:lpwstr>
  </property>
</Properties>
</file>