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Wejherowie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color w:val="000000"/>
        </w:rPr>
      </w:pPr>
      <w:r>
        <mc:AlternateContent>
          <mc:Choice Requires="wps">
            <w:drawing>
              <wp:anchor behindDoc="0" distT="0" distB="60960" distL="121920" distR="125095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635" b="6350"/>
                <wp:wrapTopAndBottom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000000"/>
        </w:rPr>
        <w:tab/>
      </w:r>
      <w:r>
        <w:rPr>
          <w:rFonts w:ascii="Lato" w:hAnsi="Lato"/>
          <w:color w:val="000000"/>
          <w:sz w:val="24"/>
          <w:szCs w:val="24"/>
        </w:rPr>
        <w:t>Wejherowo, 27 stycznia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III LICYTACJI NIERUCHOMOŚCI</w:t>
      </w:r>
    </w:p>
    <w:p>
      <w:pPr>
        <w:pStyle w:val="Standard"/>
        <w:spacing w:lineRule="auto" w:line="240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informuję o sprzedaży w drodze licytacji publicznej 2/3 udziału w</w:t>
      </w:r>
      <w:r>
        <w:rPr>
          <w:rFonts w:eastAsia="" w:cs="Calibri" w:ascii="Lato" w:hAnsi="Lato" w:eastAsiaTheme="majorEastAsia"/>
          <w:sz w:val="24"/>
          <w:szCs w:val="24"/>
          <w:lang w:val="fr-FR"/>
        </w:rPr>
        <w:t xml:space="preserve"> nieruchomości gruntowej, niezabudowanej, położonej w Redzie ul. Jaworowa, województwo pomorskie, powiat wejherowski, obręb Reda 0002,  działki ewidencyjne stanowiące- łąki trwałe o nr 657/20 i 657/21 o łącznej powierzchni 1748,00 M2,  dla której Sąd Rejonowy w Wejherowie IV wydział Ksiąg Wieczystych prowadzi księgę nr GD1W/00109262/5 </w:t>
      </w:r>
      <w:r>
        <w:rPr>
          <w:rFonts w:eastAsia="" w:cs="Calibri" w:ascii="Lato" w:hAnsi="Lato" w:eastAsiaTheme="majorEastAsia"/>
          <w:color w:val="000000"/>
          <w:sz w:val="24"/>
          <w:szCs w:val="24"/>
          <w:lang w:val="fr-FR"/>
        </w:rPr>
        <w:t>a także udział w wysokości 17/54 w nieruchomości gruntowej , niezabudowanej, stanowiącej drogę dojazd m.in. do działek 657/20 i 657/21, położona w Redzie ul. Jaworowa, województwo pomorskie, powiat wejherowski, obręb Reda 0002, działka ewidencyjna 657/13 o łącznej powierzchni 1781,00 M2, dla której Sąd Rejonowy w Wejherowie IV wydział Ksiąg Wieczystych prowadzi księgę nr GD1W/00095956/5</w:t>
      </w:r>
    </w:p>
    <w:p>
      <w:pPr>
        <w:pStyle w:val="Standard"/>
        <w:spacing w:lineRule="auto" w:line="276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należące do Pana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color w:val="000000"/>
          <w:sz w:val="24"/>
          <w:szCs w:val="24"/>
        </w:rPr>
        <w:t>Marka Rewers.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07.04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.2026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.00</w:t>
      </w:r>
    </w:p>
    <w:p>
      <w:pPr>
        <w:pStyle w:val="Normal"/>
        <w:spacing w:before="240" w:after="240"/>
        <w:ind w:left="1418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</w:rPr>
        <w:t>siedziba Urz</w:t>
      </w:r>
      <w:r>
        <w:rPr>
          <w:rFonts w:cs="Calibri" w:ascii="Lato" w:hAnsi="Lato"/>
          <w:color w:val="000000"/>
          <w:sz w:val="24"/>
          <w:szCs w:val="24"/>
        </w:rPr>
        <w:t xml:space="preserve">ędu Skarbowego w Wejherowie,  ul. Sobieskiego 346, </w:t>
        <w:br/>
        <w:t>84-200 Wejherowo (sala konferencyjna p.102)</w:t>
      </w:r>
    </w:p>
    <w:p>
      <w:pPr>
        <w:pStyle w:val="Tretekstu"/>
        <w:spacing w:lineRule="atLeast" w:line="23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val="000000"/>
          <w:szCs w:val="24"/>
          <w:lang w:val="fr-FR"/>
        </w:rPr>
        <w:t>375 300,00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243 945,00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 xml:space="preserve">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>37 530,00 zł</w:t>
      </w:r>
    </w:p>
    <w:p>
      <w:pPr>
        <w:pStyle w:val="Standard"/>
        <w:spacing w:lineRule="auto" w:line="276" w:before="0" w:after="0"/>
        <w:jc w:val="both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  <w:t>Warunkiem przyst</w:t>
      </w:r>
      <w:r>
        <w:rPr>
          <w:rFonts w:eastAsia="Cambria" w:cs="Times New Roman" w:ascii="Lato" w:hAnsi="Lato"/>
          <w:bCs/>
          <w:lang w:eastAsia="zh-CN"/>
        </w:rPr>
        <w:t xml:space="preserve">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Wadium proszę wpłacić na rachunek bankowy organu egzekucyjnego </w:t>
      </w:r>
      <w:r>
        <w:rPr>
          <w:rFonts w:cs="Arial" w:ascii="Lato" w:hAnsi="Lato"/>
          <w:color w:val="000000"/>
        </w:rPr>
        <w:t>NBP O/O Gdańsk</w:t>
      </w:r>
      <w:r>
        <w:rPr>
          <w:rFonts w:ascii="Lato" w:hAnsi="Lato"/>
          <w:lang w:eastAsia="pl-PL"/>
        </w:rPr>
        <w:t xml:space="preserve"> nr </w:t>
      </w:r>
      <w:r>
        <w:rPr>
          <w:rFonts w:ascii="Lato" w:hAnsi="Lato"/>
          <w:color w:val="000000"/>
        </w:rPr>
        <w:t>12 1010 1140 0143 9713 9120 0000</w:t>
      </w:r>
      <w:r>
        <w:rPr>
          <w:rFonts w:ascii="Lato" w:hAnsi="Lato"/>
          <w:lang w:eastAsia="pl-PL"/>
        </w:rPr>
        <w:t xml:space="preserve">. </w:t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 treści przelewu proszę zamieścić: wadium KW </w:t>
      </w:r>
      <w:r>
        <w:rPr>
          <w:rFonts w:eastAsia="Calibri Light" w:ascii="Lato" w:hAnsi="Lato"/>
          <w:lang w:val="fr-FR" w:eastAsia="pl-PL"/>
        </w:rPr>
        <w:t>GD1W/00095956/5, GD1W/00109262/5.</w:t>
      </w:r>
    </w:p>
    <w:p>
      <w:pPr>
        <w:pStyle w:val="TekstpismaKAS"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</w:rPr>
      </w:pPr>
      <w:r>
        <w:rPr>
          <w:rFonts w:ascii="Lato" w:hAnsi="Lato"/>
          <w:u w:val="single"/>
          <w:lang w:eastAsia="zh-CN"/>
        </w:rPr>
        <w:br/>
        <w:br/>
        <w:t xml:space="preserve">Zatrzymam wadium złożone przez licytanta, któremu udzielimy przybicia. </w:t>
      </w:r>
    </w:p>
    <w:p>
      <w:pPr>
        <w:pStyle w:val="Tretekstu"/>
        <w:rPr>
          <w:rFonts w:ascii="Lato" w:hAnsi="Lato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retekstu"/>
        <w:spacing w:lineRule="atLeast" w:line="23"/>
        <w:ind w:left="567" w:hanging="0"/>
        <w:jc w:val="both"/>
        <w:rPr/>
      </w:pPr>
      <w:r>
        <w:rPr>
          <w:rFonts w:ascii="Lato" w:hAnsi="Lato"/>
          <w:bCs/>
        </w:rPr>
        <w:t>Nieruchomość można oglądać od 24.03.2026r. do 06.04.2026r. w dni robocze</w:t>
      </w:r>
      <w:r>
        <w:rPr>
          <w:rFonts w:ascii="Lato" w:hAnsi="Lato"/>
        </w:rPr>
        <w:t xml:space="preserve">, po wcześniejszym uzgodnieniu z pracownikiem organu egzekucyjnego Panią Martą Obzejta telefon </w:t>
      </w:r>
      <w:r>
        <w:rPr>
          <w:rFonts w:cs="Calibri" w:ascii="Lato" w:hAnsi="Lato"/>
          <w:szCs w:val="24"/>
        </w:rPr>
        <w:t>58 736 39 73</w:t>
      </w:r>
      <w:r>
        <w:rPr>
          <w:rFonts w:ascii="Lato" w:hAnsi="Lato"/>
        </w:rPr>
        <w:t>. W tym samym czasie mogą Państwo przeglądać akta postępowania egzekucyjnego bezpośrednio związane z nieruchomością (protokół opisu i oszacowania wraz z operatem szacunkowym) w siedzibie Urzędu Skarbowego w Wejherowie, w godz. 9:00 – 13:00</w:t>
      </w:r>
    </w:p>
    <w:p>
      <w:pPr>
        <w:pStyle w:val="Normal"/>
        <w:spacing w:lineRule="atLeast" w:line="23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Standard"/>
        <w:spacing w:before="120" w:after="160"/>
        <w:ind w:left="567" w:hanging="0"/>
        <w:jc w:val="both"/>
        <w:rPr>
          <w:rFonts w:ascii="Lato" w:hAnsi="Lato"/>
          <w:sz w:val="24"/>
          <w:szCs w:val="24"/>
        </w:rPr>
      </w:pPr>
      <w:bookmarkStart w:id="0" w:name="_Hlk193957765"/>
      <w:bookmarkEnd w:id="0"/>
      <w:r>
        <w:rPr>
          <w:rFonts w:ascii="Lato" w:hAnsi="Lato"/>
          <w:bCs/>
          <w:color w:val="000000"/>
          <w:sz w:val="24"/>
          <w:szCs w:val="24"/>
          <w:lang w:eastAsia="pl-PL"/>
        </w:rPr>
        <w:t>Szczeg</w:t>
      </w:r>
      <w:r>
        <w:rPr>
          <w:rFonts w:ascii="Lato" w:hAnsi="Lato"/>
          <w:bCs/>
          <w:sz w:val="24"/>
          <w:szCs w:val="24"/>
        </w:rPr>
        <w:t>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ind w:left="1361" w:firstLine="1"/>
        <w:contextualSpacing/>
        <w:rPr>
          <w:rFonts w:ascii="Lato" w:hAnsi="Lato"/>
        </w:rPr>
      </w:pPr>
      <w:r>
        <w:drawing>
          <wp:anchor behindDoc="0" distT="0" distB="635" distL="114935" distR="114935" simplePos="0" locked="0" layoutInCell="0" allowOverlap="1" relativeHeight="9">
            <wp:simplePos x="0" y="0"/>
            <wp:positionH relativeFrom="column">
              <wp:posOffset>414020</wp:posOffset>
            </wp:positionH>
            <wp:positionV relativeFrom="paragraph">
              <wp:posOffset>69215</wp:posOffset>
            </wp:positionV>
            <wp:extent cx="358140" cy="358140"/>
            <wp:effectExtent l="0" t="0" r="0" b="0"/>
            <wp:wrapSquare wrapText="bothSides"/>
            <wp:docPr id="3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</w:rPr>
        <w:br/>
        <w:t>58 736 39 73</w:t>
      </w:r>
    </w:p>
    <w:p>
      <w:pPr>
        <w:pStyle w:val="TekstpismaKAS"/>
        <w:ind w:left="1361" w:hanging="0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ind w:left="1361" w:hanging="0"/>
        <w:rPr>
          <w:rFonts w:ascii="Lato" w:hAnsi="Lato"/>
        </w:rPr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405130</wp:posOffset>
            </wp:positionH>
            <wp:positionV relativeFrom="paragraph">
              <wp:posOffset>43815</wp:posOffset>
            </wp:positionV>
            <wp:extent cx="375285" cy="306705"/>
            <wp:effectExtent l="0" t="0" r="0" b="0"/>
            <wp:wrapSquare wrapText="bothSides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ind w:left="1361" w:hanging="0"/>
        <w:rPr>
          <w:rFonts w:ascii="Lato" w:hAnsi="Lato"/>
        </w:rPr>
      </w:pPr>
      <w:r>
        <w:rPr>
          <w:rFonts w:ascii="Lato" w:hAnsi="Lato"/>
          <w:color w:val="000000"/>
        </w:rPr>
        <w:t>marta.obzejta@mf.gov.pl</w:t>
      </w:r>
    </w:p>
    <w:p>
      <w:pPr>
        <w:pStyle w:val="Standard"/>
        <w:spacing w:before="120" w:after="160"/>
        <w:ind w:left="567" w:hanging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Czeinternetowe"/>
            <w:rFonts w:eastAsia="SimSun" w:cs="Mangal" w:ascii="Lato" w:hAnsi="Lato"/>
            <w:bCs/>
            <w:sz w:val="24"/>
            <w:szCs w:val="24"/>
            <w:lang w:eastAsia="zh-CN" w:bidi="hi-IN"/>
          </w:rPr>
          <w:t>https://www.pomorskie.kas.gov.pl/izba-administracji-skarbowej-w-gdansku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color w:val="00206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ind w:left="567" w:hanging="0"/>
        <w:rPr>
          <w:rFonts w:ascii="Lato" w:hAnsi="Lato"/>
          <w:sz w:val="24"/>
          <w:szCs w:val="24"/>
        </w:rPr>
      </w:pPr>
      <w:r>
        <w:rPr>
          <w:rFonts w:ascii="Lato" w:hAnsi="Lato"/>
          <w:color w:val="C00000"/>
          <w:sz w:val="24"/>
          <w:szCs w:val="24"/>
          <w:lang w:eastAsia="pl-PL"/>
        </w:rPr>
        <w:t xml:space="preserve">Przepisy prawa: </w:t>
      </w:r>
    </w:p>
    <w:p>
      <w:pPr>
        <w:pStyle w:val="TekstpismaKAS"/>
        <w:ind w:left="567" w:hanging="0"/>
        <w:jc w:val="both"/>
        <w:rPr>
          <w:rFonts w:ascii="Lato" w:hAnsi="Lato"/>
        </w:rPr>
      </w:pPr>
      <w:r>
        <w:rPr>
          <w:rFonts w:ascii="Lato" w:hAnsi="Lato"/>
        </w:rPr>
        <w:t xml:space="preserve">Art. 110w §1 i § 3, art. 110z, art. 111, art. 111d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</w:rPr>
        <w:br/>
      </w:r>
      <w:r>
        <w:rPr>
          <w:rFonts w:ascii="Lato" w:hAnsi="Lato"/>
          <w:lang w:eastAsia="pl-PL"/>
        </w:rPr>
        <w:t>o postępowaniu egzekucyjnym w administracji (Dz.U. z 2025 r. poz. 132).</w:t>
      </w:r>
    </w:p>
    <w:p>
      <w:pPr>
        <w:pStyle w:val="Normal"/>
        <w:spacing w:before="0" w:after="0"/>
        <w:ind w:left="567" w:hanging="0"/>
        <w:contextualSpacing/>
        <w:rPr>
          <w:rFonts w:ascii="Lato" w:hAnsi="Lato"/>
          <w:color w:val="2F5496" w:themeColor="accent1" w:themeShade="bf"/>
        </w:rPr>
      </w:pPr>
      <w:r>
        <w:rPr/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stroked="f" o:allowincell="f" style="position:absolute;margin-left:425.25pt;margin-top:0pt;width:85pt;height:24.05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cs="Calibri"/>
        <w:lang w:val="en-US"/>
      </w:rPr>
    </w:pPr>
    <w:r>
      <w:rPr>
        <w:rFonts w:cs="Calibri"/>
        <w:color w:val="000000"/>
        <w:sz w:val="18"/>
        <w:szCs w:val="18"/>
        <w:lang w:val="en-US"/>
      </w:rPr>
      <w:tab/>
      <w:tab/>
      <w:tab/>
      <w:tab/>
      <w:tab/>
      <w:tab/>
      <w:tab/>
      <w:tab/>
      <w:tab/>
      <w:tab/>
      <w:tab/>
    </w:r>
    <w:r>
      <w:rPr>
        <w:rFonts w:cs="Calibri"/>
        <w:color w:val="000000"/>
        <w:sz w:val="18"/>
        <w:szCs w:val="18"/>
        <w:lang w:val="fr-FR"/>
      </w:rPr>
      <w:t xml:space="preserve">e-mail :  </w:t>
    </w:r>
    <w:r>
      <w:rPr>
        <w:color w:val="000000"/>
        <w:sz w:val="18"/>
        <w:szCs w:val="18"/>
        <w:lang w:val="fr-FR"/>
      </w:rPr>
      <w:t xml:space="preserve">• </w:t>
    </w:r>
    <w:r>
      <w:rPr>
        <w:color w:val="00000A"/>
        <w:sz w:val="18"/>
        <w:szCs w:val="18"/>
        <w:lang w:val="fr-FR"/>
      </w:rPr>
      <w:t>www.pomorskie.kas.gov.pl/urzad-skarbowy-w-wejherowie</w:t>
    </w:r>
  </w:p>
  <w:p>
    <w:pPr>
      <w:pStyle w:val="Normal"/>
      <w:spacing w:before="0" w:after="0"/>
      <w:rPr>
        <w:rFonts w:cs="Calibri"/>
        <w:lang w:val="en-US"/>
      </w:rPr>
    </w:pPr>
    <w:r>
      <w:rPr>
        <w:color w:val="00000A"/>
        <w:sz w:val="18"/>
        <w:szCs w:val="18"/>
        <w:lang w:val="fr-FR"/>
      </w:rPr>
      <w:tab/>
      <w:tab/>
      <w:tab/>
      <w:tab/>
      <w:tab/>
      <w:tab/>
      <w:tab/>
      <w:tab/>
      <w:tab/>
      <w:tab/>
      <w:tab/>
      <w:t>Urząd Skarbowy w Wejherowie, ul. Sobieskiego 346,84-200 Wejherowo</w:t>
    </w:r>
  </w:p>
  <w:p>
    <w:pPr>
      <w:pStyle w:val="Normal"/>
      <w:spacing w:before="0" w:after="160"/>
      <w:rPr>
        <w:rFonts w:cs="Calibri"/>
        <w:lang w:val="en-US"/>
      </w:rPr>
    </w:pPr>
    <w:r>
      <w:rPr>
        <w:rFonts w:cs="Calibri"/>
        <w:lang w:val="en-US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o:allowincell="f" style="position:absolute;margin-left:453.6pt;margin-top:0pt;width:56.65pt;height:24.05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left" w:pos="1189" w:leader="none"/>
        <w:tab w:val="center" w:pos="4536" w:leader="none"/>
        <w:tab w:val="right" w:pos="9072" w:leader="none"/>
      </w:tabs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mirrorMargins/>
  <w:defaultTabStop w:val="284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uiPriority w:val="99"/>
    <w:unhideWhenUsed/>
    <w:rsid w:val="00820f46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izba-administracji-skarbowej-w-gdansk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Application>LibreOffice/7.3.0.3$Windows_X86_64 LibreOffice_project/0f246aa12d0eee4a0f7adcefbf7c878fc2238db3</Application>
  <AppVersion>15.0000</AppVersion>
  <Pages>2</Pages>
  <Words>477</Words>
  <Characters>3101</Characters>
  <CharactersWithSpaces>3584</CharactersWithSpaces>
  <Paragraphs>36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2025-07-01T14:20:00Z</cp:lastPrinted>
  <dcterms:modified xsi:type="dcterms:W3CDTF">2026-01-28T10:27:00Z</dcterms:modified>
  <cp:revision>38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MFVisualMarkingsSettings">
    <vt:lpwstr>HeaderAlignment=1;FooterAlignment=1</vt:lpwstr>
  </property>
  <property fmtid="{D5CDD505-2E9C-101B-9397-08002B2CF9AE}" pid="30" name="Stanowisko">
    <vt:lpwstr>$Stanowisko</vt:lpwstr>
  </property>
  <property fmtid="{D5CDD505-2E9C-101B-9397-08002B2CF9AE}" pid="31" name="TrescPisma">
    <vt:lpwstr>$Treść Pisma</vt:lpwstr>
  </property>
  <property fmtid="{D5CDD505-2E9C-101B-9397-08002B2CF9AE}" pid="32" name="UNPPisma">
    <vt:lpwstr>$UNP Pisma</vt:lpwstr>
  </property>
  <property fmtid="{D5CDD505-2E9C-101B-9397-08002B2CF9AE}" pid="33" name="ZnakSprawy">
    <vt:lpwstr>$Znak Sprawy</vt:lpwstr>
  </property>
  <property fmtid="{D5CDD505-2E9C-101B-9397-08002B2CF9AE}" pid="34" name="adresImie">
    <vt:lpwstr>$Imię adresata</vt:lpwstr>
  </property>
  <property fmtid="{D5CDD505-2E9C-101B-9397-08002B2CF9AE}" pid="35" name="adresKodPocztowy">
    <vt:lpwstr>$Kod Pocztowy</vt:lpwstr>
  </property>
  <property fmtid="{D5CDD505-2E9C-101B-9397-08002B2CF9AE}" pid="36" name="adresMiejscowosc">
    <vt:lpwstr>$Miejscowość</vt:lpwstr>
  </property>
  <property fmtid="{D5CDD505-2E9C-101B-9397-08002B2CF9AE}" pid="37" name="adresNIP">
    <vt:lpwstr>$NIP</vt:lpwstr>
  </property>
  <property fmtid="{D5CDD505-2E9C-101B-9397-08002B2CF9AE}" pid="38" name="adresNazwa">
    <vt:lpwstr>$Nazwa adresata</vt:lpwstr>
  </property>
  <property fmtid="{D5CDD505-2E9C-101B-9397-08002B2CF9AE}" pid="39" name="adresNazwisko">
    <vt:lpwstr>$Nazwisko adresata</vt:lpwstr>
  </property>
  <property fmtid="{D5CDD505-2E9C-101B-9397-08002B2CF9AE}" pid="40" name="adresNrDomu">
    <vt:lpwstr>$Nr Domu</vt:lpwstr>
  </property>
  <property fmtid="{D5CDD505-2E9C-101B-9397-08002B2CF9AE}" pid="41" name="adresNrLokalu">
    <vt:lpwstr>$Nr Lokalu</vt:lpwstr>
  </property>
  <property fmtid="{D5CDD505-2E9C-101B-9397-08002B2CF9AE}" pid="42" name="adresPESEL">
    <vt:lpwstr>$PESEL</vt:lpwstr>
  </property>
  <property fmtid="{D5CDD505-2E9C-101B-9397-08002B2CF9AE}" pid="43" name="adresUlica">
    <vt:lpwstr>$Ulica</vt:lpwstr>
  </property>
</Properties>
</file>