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1CF" w:rsidRDefault="008B2935">
      <w:pPr>
        <w:spacing w:before="60" w:after="240" w:line="240" w:lineRule="auto"/>
        <w:ind w:left="1418"/>
        <w:contextualSpacing/>
      </w:pPr>
      <w:r>
        <w:rPr>
          <w:noProof/>
          <w:lang w:eastAsia="pl-PL"/>
        </w:rPr>
        <w:drawing>
          <wp:anchor distT="0" distB="0" distL="0" distR="0" simplePos="0" relativeHeight="7" behindDoc="0" locked="0" layoutInCell="0" allowOverlap="1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theme="minorHAnsi"/>
          <w:b/>
          <w:caps/>
        </w:rPr>
        <w:t>Naczelnik</w:t>
      </w:r>
    </w:p>
    <w:p w:rsidR="009F31CF" w:rsidRDefault="008B2935">
      <w:pPr>
        <w:spacing w:after="240" w:line="240" w:lineRule="auto"/>
        <w:ind w:left="1418"/>
        <w:contextualSpacing/>
      </w:pPr>
      <w:r>
        <w:rPr>
          <w:rFonts w:cstheme="minorHAnsi"/>
          <w:b/>
          <w:caps/>
        </w:rPr>
        <w:t>Urzędu skarbowego</w:t>
      </w:r>
    </w:p>
    <w:p w:rsidR="009F31CF" w:rsidRDefault="008B2935">
      <w:pPr>
        <w:spacing w:after="240" w:line="240" w:lineRule="auto"/>
        <w:ind w:left="1418"/>
        <w:contextualSpacing/>
      </w:pPr>
      <w:r>
        <w:rPr>
          <w:rFonts w:cstheme="minorHAnsi"/>
          <w:b/>
          <w:caps/>
        </w:rPr>
        <w:t>w SŁUPSKU</w:t>
      </w:r>
    </w:p>
    <w:p w:rsidR="009F31CF" w:rsidRDefault="009F31CF">
      <w:pPr>
        <w:spacing w:after="0"/>
        <w:contextualSpacing/>
        <w:jc w:val="right"/>
        <w:rPr>
          <w:rFonts w:ascii="Calibri" w:hAnsi="Calibri"/>
        </w:rPr>
      </w:pPr>
    </w:p>
    <w:p w:rsidR="009F31CF" w:rsidRDefault="008B2935">
      <w:pPr>
        <w:spacing w:after="0"/>
        <w:contextualSpacing/>
        <w:jc w:val="right"/>
      </w:pPr>
      <w:r>
        <w:rPr>
          <w:noProof/>
          <w:lang w:eastAsia="pl-PL"/>
        </w:rPr>
        <mc:AlternateContent>
          <mc:Choice Requires="wps">
            <w:drawing>
              <wp:anchor distT="0" distB="62230" distL="121920" distR="77470" simplePos="0" relativeHeight="8" behindDoc="0" locked="0" layoutInCell="0" allowOverlap="0" wp14:anchorId="30395753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635"/>
                <wp:effectExtent l="635" t="6350" r="0" b="63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72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2A9BE0" id="Łącznik prosty 2" o:spid="_x0000_s1026" alt="linia rozdzielająca" style="position:absolute;z-index:8;visibility:visible;mso-wrap-style:square;mso-wrap-distance-left:9.6pt;mso-wrap-distance-top:0;mso-wrap-distance-right:6.1pt;mso-wrap-distance-bottom:4.9pt;mso-position-horizontal:absolute;mso-position-horizontal-relative:text;mso-position-vertical:absolute;mso-position-vertical-relative:text" from="0,2.85pt" to="453.6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" o:allowincell="f" o:allowoverlap="f" strokeweight="1pt">
                <v:stroke joinstyle="miter"/>
                <w10:wrap type="topAndBottom"/>
              </v:line>
            </w:pict>
          </mc:Fallback>
        </mc:AlternateContent>
      </w:r>
      <w:r>
        <w:rPr>
          <w:color w:val="000000"/>
        </w:rPr>
        <w:t>Słupsk, 30 stycznia 2026 roku</w:t>
      </w:r>
    </w:p>
    <w:p w:rsidR="009F31CF" w:rsidRDefault="008B2935">
      <w:pPr>
        <w:pStyle w:val="TytupismaKAS"/>
        <w:jc w:val="center"/>
        <w:rPr>
          <w:sz w:val="28"/>
          <w:szCs w:val="28"/>
        </w:rPr>
      </w:pPr>
      <w:r>
        <w:rPr>
          <w:color w:val="C00000"/>
          <w:sz w:val="28"/>
          <w:szCs w:val="28"/>
        </w:rPr>
        <w:t xml:space="preserve">OBWIESZCZENIE O </w:t>
      </w:r>
      <w:r w:rsidR="002642E1">
        <w:rPr>
          <w:color w:val="C00000"/>
          <w:sz w:val="28"/>
          <w:szCs w:val="28"/>
        </w:rPr>
        <w:t>DRUGIEJ</w:t>
      </w:r>
      <w:bookmarkStart w:id="0" w:name="_GoBack"/>
      <w:bookmarkEnd w:id="0"/>
      <w:r>
        <w:rPr>
          <w:color w:val="C00000"/>
          <w:sz w:val="28"/>
          <w:szCs w:val="28"/>
        </w:rPr>
        <w:t xml:space="preserve"> LICYTACJI RUCHOMOŚCI</w:t>
      </w:r>
    </w:p>
    <w:p w:rsidR="009F31CF" w:rsidRDefault="009F31CF">
      <w:pPr>
        <w:pStyle w:val="TytupismaKAS"/>
        <w:rPr>
          <w:b w:val="0"/>
          <w:sz w:val="22"/>
          <w:szCs w:val="22"/>
        </w:rPr>
      </w:pPr>
    </w:p>
    <w:p w:rsidR="009F31CF" w:rsidRDefault="008B2935">
      <w:pPr>
        <w:pStyle w:val="TytupismaKAS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Szanowni Państwo,</w:t>
      </w:r>
    </w:p>
    <w:p w:rsidR="009F31CF" w:rsidRDefault="008B2935">
      <w:pPr>
        <w:pStyle w:val="Standard"/>
        <w:spacing w:before="288" w:after="0" w:line="276" w:lineRule="auto"/>
      </w:pPr>
      <w:r>
        <w:rPr>
          <w:bCs/>
        </w:rPr>
        <w:t xml:space="preserve">informuję o sprzedaży w drodze licytacji publicznej ruchomości należącej do Skarbu Państwa                      na </w:t>
      </w:r>
      <w:r>
        <w:rPr>
          <w:bCs/>
        </w:rPr>
        <w:t>podstawie prawomocnego wyroku sądowego.</w:t>
      </w:r>
    </w:p>
    <w:p w:rsidR="009F31CF" w:rsidRDefault="008B2935">
      <w:pPr>
        <w:spacing w:before="240" w:after="240"/>
        <w:ind w:left="1191" w:hanging="1191"/>
      </w:pPr>
      <w:r>
        <w:rPr>
          <w:rStyle w:val="Nagwek2Znak"/>
          <w:color w:val="C00000"/>
          <w:sz w:val="22"/>
          <w:szCs w:val="22"/>
        </w:rPr>
        <w:t>Termin</w:t>
      </w:r>
      <w:r>
        <w:rPr>
          <w:rStyle w:val="Nagwek2Znak"/>
          <w:sz w:val="22"/>
          <w:szCs w:val="22"/>
        </w:rPr>
        <w:tab/>
      </w:r>
      <w:r>
        <w:rPr>
          <w:rStyle w:val="Nagwek2Znak"/>
          <w:b w:val="0"/>
          <w:color w:val="000000"/>
          <w:sz w:val="22"/>
          <w:szCs w:val="22"/>
        </w:rPr>
        <w:t>6 lutego</w:t>
      </w:r>
      <w:r>
        <w:rPr>
          <w:rStyle w:val="Nagwek2Znak"/>
          <w:b w:val="0"/>
          <w:color w:val="000000"/>
          <w:sz w:val="22"/>
          <w:szCs w:val="22"/>
        </w:rPr>
        <w:t xml:space="preserve"> 2026</w:t>
      </w:r>
      <w:r>
        <w:rPr>
          <w:rStyle w:val="Nagwek2Znak"/>
          <w:b w:val="0"/>
          <w:color w:val="auto"/>
          <w:sz w:val="22"/>
          <w:szCs w:val="22"/>
        </w:rPr>
        <w:t xml:space="preserve"> roku, godz. 11:00</w:t>
      </w:r>
    </w:p>
    <w:p w:rsidR="009F31CF" w:rsidRDefault="008B2935">
      <w:pPr>
        <w:spacing w:before="240" w:after="240"/>
        <w:ind w:left="1247" w:hanging="1247"/>
        <w:jc w:val="both"/>
      </w:pPr>
      <w:r>
        <w:rPr>
          <w:rStyle w:val="Nagwek2Znak"/>
          <w:color w:val="C00000"/>
          <w:sz w:val="22"/>
          <w:szCs w:val="22"/>
        </w:rPr>
        <w:t>Miejsce</w:t>
      </w:r>
      <w:r>
        <w:rPr>
          <w:rStyle w:val="Nagwek2Znak"/>
          <w:b w:val="0"/>
          <w:color w:val="000000"/>
          <w:sz w:val="22"/>
          <w:szCs w:val="22"/>
        </w:rPr>
        <w:tab/>
        <w:t xml:space="preserve">76-200 </w:t>
      </w:r>
      <w:proofErr w:type="spellStart"/>
      <w:r>
        <w:rPr>
          <w:rStyle w:val="Nagwek2Znak"/>
          <w:b w:val="0"/>
          <w:color w:val="000000"/>
          <w:sz w:val="22"/>
          <w:szCs w:val="22"/>
        </w:rPr>
        <w:t>Słupsk,</w:t>
      </w:r>
      <w:r>
        <w:rPr>
          <w:color w:val="000000"/>
        </w:rPr>
        <w:t>ul</w:t>
      </w:r>
      <w:proofErr w:type="spellEnd"/>
      <w:r>
        <w:rPr>
          <w:color w:val="000000"/>
        </w:rPr>
        <w:t xml:space="preserve">. Szczecińska 59, pokój nr 020, </w:t>
      </w:r>
    </w:p>
    <w:p w:rsidR="009F31CF" w:rsidRDefault="008B2935">
      <w:pPr>
        <w:pStyle w:val="Nagwek2"/>
        <w:spacing w:line="240" w:lineRule="auto"/>
        <w:rPr>
          <w:sz w:val="22"/>
          <w:szCs w:val="22"/>
        </w:rPr>
      </w:pPr>
      <w:r>
        <w:rPr>
          <w:bCs/>
          <w:color w:val="C00000"/>
          <w:sz w:val="22"/>
          <w:szCs w:val="22"/>
        </w:rPr>
        <w:t>Sprzedawana ruchomość</w:t>
      </w:r>
    </w:p>
    <w:tbl>
      <w:tblPr>
        <w:tblW w:w="9643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505"/>
        <w:gridCol w:w="2839"/>
        <w:gridCol w:w="1361"/>
        <w:gridCol w:w="1296"/>
        <w:gridCol w:w="1307"/>
        <w:gridCol w:w="2335"/>
      </w:tblGrid>
      <w:tr w:rsidR="009F31CF">
        <w:trPr>
          <w:trHeight w:val="95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1CF" w:rsidRDefault="008B2935">
            <w:pPr>
              <w:pStyle w:val="Standard"/>
              <w:widowControl w:val="0"/>
              <w:spacing w:before="288" w:after="0" w:line="240" w:lineRule="auto"/>
            </w:pPr>
            <w:r>
              <w:rPr>
                <w:rFonts w:cs="Arial"/>
                <w:b/>
                <w:bCs/>
              </w:rPr>
              <w:t>L.p.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1CF" w:rsidRDefault="008B2935">
            <w:pPr>
              <w:pStyle w:val="Standard"/>
              <w:widowControl w:val="0"/>
              <w:spacing w:before="288" w:after="0" w:line="240" w:lineRule="auto"/>
            </w:pPr>
            <w:r>
              <w:rPr>
                <w:rFonts w:cs="Arial"/>
                <w:b/>
                <w:bCs/>
              </w:rPr>
              <w:t>Określenie ruchomości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1CF" w:rsidRDefault="008B2935">
            <w:pPr>
              <w:pStyle w:val="Standard"/>
              <w:widowControl w:val="0"/>
              <w:spacing w:before="288" w:after="0" w:line="240" w:lineRule="auto"/>
            </w:pPr>
            <w:r>
              <w:rPr>
                <w:rFonts w:cs="Arial"/>
                <w:b/>
                <w:bCs/>
              </w:rPr>
              <w:t>Wartość szacunkowa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1CF" w:rsidRDefault="008B2935">
            <w:pPr>
              <w:pStyle w:val="Standard"/>
              <w:widowControl w:val="0"/>
              <w:spacing w:before="288" w:after="0" w:line="240" w:lineRule="auto"/>
            </w:pPr>
            <w:r>
              <w:rPr>
                <w:rFonts w:cs="Arial"/>
                <w:b/>
                <w:bCs/>
              </w:rPr>
              <w:t>Cena wywołania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1CF" w:rsidRDefault="008B2935">
            <w:pPr>
              <w:pStyle w:val="Standard"/>
              <w:widowControl w:val="0"/>
              <w:spacing w:before="288" w:after="0" w:line="240" w:lineRule="auto"/>
              <w:jc w:val="center"/>
            </w:pPr>
            <w:r>
              <w:rPr>
                <w:rFonts w:cs="Arial"/>
                <w:b/>
                <w:bCs/>
              </w:rPr>
              <w:t>Wadium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1CF" w:rsidRDefault="008B2935">
            <w:pPr>
              <w:pStyle w:val="Standard"/>
              <w:widowControl w:val="0"/>
              <w:spacing w:before="288" w:after="0" w:line="240" w:lineRule="auto"/>
              <w:jc w:val="center"/>
            </w:pPr>
            <w:r>
              <w:rPr>
                <w:rFonts w:cs="Arial"/>
                <w:b/>
                <w:bCs/>
              </w:rPr>
              <w:t>Uwagi</w:t>
            </w:r>
          </w:p>
        </w:tc>
      </w:tr>
      <w:tr w:rsidR="009F31CF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1CF" w:rsidRDefault="008B2935">
            <w:pPr>
              <w:pStyle w:val="Standard"/>
              <w:widowControl w:val="0"/>
              <w:spacing w:before="288" w:after="0" w:line="240" w:lineRule="auto"/>
            </w:pPr>
            <w:r>
              <w:rPr>
                <w:rFonts w:cs="Arial"/>
                <w:bCs/>
              </w:rPr>
              <w:t>1.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1CF" w:rsidRDefault="008B2935">
            <w:pPr>
              <w:spacing w:line="240" w:lineRule="auto"/>
              <w:jc w:val="both"/>
            </w:pPr>
            <w:r>
              <w:rPr>
                <w:rFonts w:cs="Arial"/>
                <w:color w:val="000000"/>
              </w:rPr>
              <w:t xml:space="preserve">SKODA Fabia o nr rej.                         GSL 53263, nr  VIN </w:t>
            </w:r>
            <w:r>
              <w:rPr>
                <w:color w:val="000000"/>
              </w:rPr>
              <w:t>TMBGD65J493022196</w:t>
            </w:r>
            <w:r>
              <w:rPr>
                <w:color w:val="000000"/>
              </w:rPr>
              <w:t>,</w:t>
            </w:r>
            <w:r>
              <w:rPr>
                <w:rFonts w:cs="Arial"/>
                <w:color w:val="000000"/>
              </w:rPr>
              <w:t xml:space="preserve">               rok produkcji 2008,</w:t>
            </w:r>
            <w:r>
              <w:rPr>
                <w:rFonts w:cs="Arial"/>
                <w:bCs/>
                <w:color w:val="000000"/>
              </w:rPr>
              <w:t xml:space="preserve">                    data pierwszej rejestracji                  za granicą 27.06.2008, data pierwszej rejestracji w kraju 11.04.2019 r.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1CF" w:rsidRDefault="008B2935">
            <w:pPr>
              <w:pStyle w:val="Standard"/>
              <w:widowControl w:val="0"/>
              <w:spacing w:before="288" w:after="0" w:line="240" w:lineRule="auto"/>
              <w:jc w:val="center"/>
            </w:pPr>
            <w:r>
              <w:rPr>
                <w:rFonts w:cs="Arial"/>
                <w:bCs/>
              </w:rPr>
              <w:t>12.</w:t>
            </w:r>
            <w:r>
              <w:rPr>
                <w:rFonts w:cs="Arial"/>
                <w:bCs/>
              </w:rPr>
              <w:t>000 zł.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1CF" w:rsidRDefault="008B2935">
            <w:pPr>
              <w:pStyle w:val="Standard"/>
              <w:widowControl w:val="0"/>
              <w:spacing w:before="288" w:after="0" w:line="240" w:lineRule="auto"/>
              <w:jc w:val="center"/>
            </w:pPr>
            <w:r>
              <w:rPr>
                <w:rFonts w:cs="Arial"/>
                <w:bCs/>
              </w:rPr>
              <w:t>6.000 zł.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1CF" w:rsidRDefault="008B2935">
            <w:pPr>
              <w:pStyle w:val="Standard"/>
              <w:widowControl w:val="0"/>
              <w:spacing w:before="288" w:after="0" w:line="240" w:lineRule="auto"/>
              <w:jc w:val="center"/>
            </w:pPr>
            <w:r>
              <w:rPr>
                <w:rFonts w:cs="Arial"/>
                <w:bCs/>
              </w:rPr>
              <w:t>1.200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1CF" w:rsidRDefault="008B2935">
            <w:pPr>
              <w:spacing w:after="0" w:line="240" w:lineRule="auto"/>
            </w:pPr>
            <w:r>
              <w:t>Orzeczenie przepadku na rzecz Skarbu Państwa – wyrok Sądu Rejonowego w Słupsku II Wydziału Karnego             z 7 listopada 2025 roku, sygn. akt II K 1416/25</w:t>
            </w:r>
          </w:p>
          <w:p w:rsidR="009F31CF" w:rsidRDefault="009F31CF">
            <w:pPr>
              <w:spacing w:line="240" w:lineRule="auto"/>
            </w:pPr>
          </w:p>
          <w:p w:rsidR="009F31CF" w:rsidRDefault="008B2935">
            <w:pPr>
              <w:spacing w:line="240" w:lineRule="auto"/>
            </w:pPr>
            <w:r>
              <w:t>- pojemność silnika 1598 cm</w:t>
            </w:r>
            <w:r>
              <w:rPr>
                <w:vertAlign w:val="superscript"/>
              </w:rPr>
              <w:t>3</w:t>
            </w:r>
          </w:p>
          <w:p w:rsidR="009F31CF" w:rsidRDefault="008B2935">
            <w:pPr>
              <w:spacing w:line="240" w:lineRule="auto"/>
            </w:pPr>
            <w:r>
              <w:t>- rodzaj paliwa: benzyna;</w:t>
            </w:r>
          </w:p>
          <w:p w:rsidR="009F31CF" w:rsidRDefault="008B2935">
            <w:pPr>
              <w:spacing w:line="240" w:lineRule="auto"/>
            </w:pPr>
            <w:r>
              <w:t xml:space="preserve">- widoczne ślady </w:t>
            </w:r>
            <w:r>
              <w:t>użytkowania;</w:t>
            </w:r>
          </w:p>
          <w:p w:rsidR="009F31CF" w:rsidRDefault="008B2935">
            <w:pPr>
              <w:spacing w:line="240" w:lineRule="auto"/>
            </w:pPr>
            <w:r>
              <w:t>- stan licznika              237780 km</w:t>
            </w:r>
          </w:p>
          <w:p w:rsidR="009F31CF" w:rsidRDefault="009F31CF">
            <w:pPr>
              <w:spacing w:line="240" w:lineRule="auto"/>
            </w:pPr>
          </w:p>
        </w:tc>
      </w:tr>
    </w:tbl>
    <w:p w:rsidR="009F31CF" w:rsidRDefault="009F31CF">
      <w:pPr>
        <w:pStyle w:val="Standard"/>
        <w:spacing w:before="120" w:after="0" w:line="240" w:lineRule="auto"/>
        <w:jc w:val="both"/>
      </w:pPr>
    </w:p>
    <w:p w:rsidR="009F31CF" w:rsidRDefault="008B2935">
      <w:pPr>
        <w:pStyle w:val="Standard"/>
        <w:spacing w:before="120" w:after="0" w:line="240" w:lineRule="auto"/>
        <w:jc w:val="both"/>
      </w:pPr>
      <w:r>
        <w:rPr>
          <w:b/>
          <w:bCs/>
          <w:color w:val="C00000"/>
        </w:rPr>
        <w:t>Termin i miejsce oglądania ruchomości</w:t>
      </w:r>
    </w:p>
    <w:p w:rsidR="009F31CF" w:rsidRDefault="008B2935">
      <w:pPr>
        <w:pStyle w:val="Standard"/>
        <w:spacing w:before="120" w:after="0" w:line="276" w:lineRule="auto"/>
        <w:jc w:val="both"/>
      </w:pPr>
      <w:r>
        <w:rPr>
          <w:bCs/>
          <w:color w:val="000000"/>
        </w:rPr>
        <w:t>Ruchomości można oglądać 6 lutego 2026 roku od godz. 10:00 do godz. 10:30 w</w:t>
      </w:r>
      <w:r>
        <w:rPr>
          <w:bCs/>
        </w:rPr>
        <w:t xml:space="preserve"> </w:t>
      </w:r>
      <w:r>
        <w:rPr>
          <w:bCs/>
          <w:color w:val="000000"/>
        </w:rPr>
        <w:t>Urzędzie Skarbowym w Słupsku.</w:t>
      </w:r>
    </w:p>
    <w:p w:rsidR="009F31CF" w:rsidRDefault="009F31CF">
      <w:pPr>
        <w:pStyle w:val="Standard"/>
        <w:spacing w:before="120" w:after="0" w:line="240" w:lineRule="auto"/>
        <w:jc w:val="both"/>
      </w:pPr>
    </w:p>
    <w:p w:rsidR="009F31CF" w:rsidRDefault="008B2935">
      <w:pPr>
        <w:pStyle w:val="Standard"/>
        <w:spacing w:before="120" w:after="0" w:line="240" w:lineRule="auto"/>
        <w:jc w:val="both"/>
      </w:pPr>
      <w:r>
        <w:rPr>
          <w:b/>
          <w:bCs/>
          <w:color w:val="C00000"/>
        </w:rPr>
        <w:lastRenderedPageBreak/>
        <w:t>Pozostałe informacje</w:t>
      </w:r>
    </w:p>
    <w:p w:rsidR="009F31CF" w:rsidRDefault="008B2935">
      <w:pPr>
        <w:pStyle w:val="Tekstpodstawowy"/>
        <w:rPr>
          <w:rFonts w:ascii="Calibri" w:hAnsi="Calibri"/>
          <w:sz w:val="22"/>
        </w:rPr>
      </w:pPr>
      <w:r>
        <w:rPr>
          <w:sz w:val="22"/>
        </w:rPr>
        <w:t xml:space="preserve">Wadium jest wymagane w kwocie </w:t>
      </w:r>
      <w:r>
        <w:rPr>
          <w:sz w:val="22"/>
        </w:rPr>
        <w:t>wykazanej w tabeli.</w:t>
      </w:r>
    </w:p>
    <w:p w:rsidR="009F31CF" w:rsidRDefault="008B2935">
      <w:pPr>
        <w:pStyle w:val="Tekstpodstawowy"/>
      </w:pPr>
      <w:r>
        <w:rPr>
          <w:rStyle w:val="Teksttreci"/>
          <w:rFonts w:ascii="Calibri" w:hAnsi="Calibri"/>
          <w:sz w:val="22"/>
          <w:lang w:eastAsia="pl-PL"/>
        </w:rPr>
        <w:t xml:space="preserve">Wadium należy wpłacić na rachunek organu egzekucyjnego nr 98 1010 1140 0030 5613 9120 </w:t>
      </w:r>
      <w:r>
        <w:rPr>
          <w:rStyle w:val="Teksttreci105pt"/>
          <w:rFonts w:ascii="Calibri" w:hAnsi="Calibri"/>
          <w:sz w:val="22"/>
          <w:lang w:eastAsia="pl-PL"/>
        </w:rPr>
        <w:t>0000.</w:t>
      </w:r>
    </w:p>
    <w:p w:rsidR="009F31CF" w:rsidRDefault="008B2935">
      <w:pPr>
        <w:pStyle w:val="Tekstpodstawowy"/>
      </w:pPr>
      <w:r>
        <w:rPr>
          <w:rStyle w:val="Teksttreci"/>
          <w:rFonts w:ascii="Calibri" w:hAnsi="Calibri"/>
          <w:sz w:val="22"/>
        </w:rPr>
        <w:t>Wadium uznam za złożone, jeżeli wpłata zostanie uznana na naszym rachunku najpóźniej w dniu poprzedzającym dzień licytacji.</w:t>
      </w:r>
    </w:p>
    <w:p w:rsidR="009F31CF" w:rsidRDefault="008B2935">
      <w:pPr>
        <w:pStyle w:val="Teksttreci0"/>
        <w:shd w:val="clear" w:color="auto" w:fill="auto"/>
        <w:spacing w:before="0" w:after="173" w:line="341" w:lineRule="exact"/>
        <w:ind w:left="40" w:right="260" w:firstLine="0"/>
      </w:pPr>
      <w:r>
        <w:rPr>
          <w:rStyle w:val="Teksttreci"/>
          <w:rFonts w:ascii="Calibri" w:hAnsi="Calibri"/>
          <w:sz w:val="22"/>
          <w:lang w:eastAsia="pl-PL"/>
        </w:rPr>
        <w:t xml:space="preserve">Nie później niż na </w:t>
      </w:r>
      <w:r>
        <w:rPr>
          <w:rStyle w:val="Teksttreci"/>
          <w:rFonts w:ascii="Calibri" w:hAnsi="Calibri"/>
          <w:sz w:val="22"/>
          <w:lang w:eastAsia="pl-PL"/>
        </w:rPr>
        <w:t>godzinę przed terminem oznaczonym w obwieszczeniu o licytacji wadium można złożyć gotówką pracownikowi obsługującemu organ egzekucyjny, jeżeli nie przekracza 5.000 zł.</w:t>
      </w:r>
    </w:p>
    <w:p w:rsidR="009F31CF" w:rsidRDefault="008B2935">
      <w:pPr>
        <w:pStyle w:val="Teksttreci0"/>
        <w:shd w:val="clear" w:color="auto" w:fill="auto"/>
        <w:spacing w:before="0" w:after="95" w:line="200" w:lineRule="exact"/>
        <w:ind w:left="40" w:firstLine="0"/>
      </w:pPr>
      <w:r>
        <w:rPr>
          <w:rStyle w:val="Teksttreci"/>
          <w:rFonts w:ascii="Calibri" w:hAnsi="Calibri"/>
          <w:sz w:val="22"/>
          <w:lang w:eastAsia="pl-PL"/>
        </w:rPr>
        <w:t>Zatrzymam wadium złożone przez licytanta, któremu udzieliłem przybicia.</w:t>
      </w:r>
    </w:p>
    <w:p w:rsidR="009F31CF" w:rsidRDefault="008B2935">
      <w:pPr>
        <w:pStyle w:val="Teksttreci0"/>
        <w:shd w:val="clear" w:color="auto" w:fill="auto"/>
        <w:spacing w:before="0" w:after="279" w:line="341" w:lineRule="exact"/>
        <w:ind w:left="40" w:right="260" w:firstLine="0"/>
      </w:pPr>
      <w:r>
        <w:rPr>
          <w:rStyle w:val="Teksttreci"/>
          <w:rFonts w:ascii="Calibri" w:hAnsi="Calibri" w:cs="Calibri"/>
          <w:sz w:val="22"/>
          <w:lang w:eastAsia="pl-PL"/>
        </w:rPr>
        <w:t>Pozostałym licyt</w:t>
      </w:r>
      <w:r>
        <w:rPr>
          <w:rStyle w:val="Teksttreci"/>
          <w:rFonts w:ascii="Calibri" w:hAnsi="Calibri" w:cs="Calibri"/>
          <w:sz w:val="22"/>
          <w:lang w:eastAsia="pl-PL"/>
        </w:rPr>
        <w:t>antom zwrócę wadium nie później niż w terminie 7 dni roboczych od dnia licytacji.</w:t>
      </w:r>
    </w:p>
    <w:p w:rsidR="009F31CF" w:rsidRDefault="008B2935">
      <w:pPr>
        <w:pStyle w:val="Teksttreci0"/>
        <w:shd w:val="clear" w:color="auto" w:fill="auto"/>
        <w:spacing w:before="0" w:after="279" w:line="341" w:lineRule="exact"/>
        <w:ind w:left="40" w:right="260" w:firstLine="0"/>
      </w:pPr>
      <w:r>
        <w:rPr>
          <w:rStyle w:val="Teksttreci"/>
          <w:rFonts w:asciiTheme="minorHAnsi" w:hAnsiTheme="minorHAnsi" w:cstheme="minorHAnsi"/>
          <w:bCs/>
          <w:sz w:val="22"/>
          <w:lang w:eastAsia="pl-PL"/>
        </w:rPr>
        <w:t>Nabywca obowiązany jest niezwłocznie po udzieleniu mu przybicia uiścić przynajmniej cenę                         wywołania na rachunek organu egzekucyjnego nr 97 1010 0071 22</w:t>
      </w:r>
      <w:r>
        <w:rPr>
          <w:rStyle w:val="Teksttreci"/>
          <w:rFonts w:asciiTheme="minorHAnsi" w:hAnsiTheme="minorHAnsi" w:cstheme="minorHAnsi"/>
          <w:bCs/>
          <w:sz w:val="22"/>
          <w:lang w:eastAsia="pl-PL"/>
        </w:rPr>
        <w:t xml:space="preserve">23 2216 3200 0000                                     lub </w:t>
      </w:r>
      <w:r>
        <w:rPr>
          <w:rStyle w:val="Teksttreci"/>
          <w:rFonts w:ascii="Calibri" w:hAnsi="Calibri" w:cs="Calibri"/>
          <w:bCs/>
          <w:sz w:val="22"/>
          <w:lang w:eastAsia="pl-PL"/>
        </w:rPr>
        <w:t xml:space="preserve"> pracownikowi organu egzekucyjnego</w:t>
      </w:r>
      <w:r>
        <w:rPr>
          <w:rStyle w:val="Teksttreci"/>
          <w:rFonts w:asciiTheme="minorHAnsi" w:hAnsiTheme="minorHAnsi" w:cstheme="minorHAnsi"/>
          <w:bCs/>
          <w:sz w:val="22"/>
          <w:lang w:eastAsia="pl-PL"/>
        </w:rPr>
        <w:t>. Jeżeli ceny tej nabywca nie uiści, traci prawo wynikłe                   z przybicia i nie może uczestniczyć w licytacji tej samej ruchomości. Pozostałą do zapłat</w:t>
      </w:r>
      <w:r>
        <w:rPr>
          <w:rStyle w:val="Teksttreci"/>
          <w:rFonts w:asciiTheme="minorHAnsi" w:hAnsiTheme="minorHAnsi" w:cstheme="minorHAnsi"/>
          <w:bCs/>
          <w:sz w:val="22"/>
          <w:lang w:eastAsia="pl-PL"/>
        </w:rPr>
        <w:t xml:space="preserve">y część                        wylicytowanej kwoty należy wpłacić  niezwłocznie organowi  egzekucyjnemu na rachunek bankowy nr 97 1010 0071 2223 2216 3200 0000 bądź </w:t>
      </w:r>
      <w:r>
        <w:rPr>
          <w:rStyle w:val="Teksttreci"/>
          <w:rFonts w:ascii="Calibri" w:hAnsi="Calibri" w:cs="Calibri"/>
          <w:bCs/>
          <w:sz w:val="22"/>
          <w:lang w:eastAsia="pl-PL"/>
        </w:rPr>
        <w:t xml:space="preserve"> pracownikowi organu egzekucyjnego,</w:t>
      </w:r>
      <w:r>
        <w:rPr>
          <w:rStyle w:val="Teksttreci"/>
          <w:rFonts w:asciiTheme="minorHAnsi" w:hAnsiTheme="minorHAnsi" w:cstheme="minorHAnsi"/>
          <w:bCs/>
          <w:sz w:val="22"/>
          <w:lang w:eastAsia="pl-PL"/>
        </w:rPr>
        <w:t xml:space="preserve"> nie później niż w dniu następującym po dniu licytacji. </w:t>
      </w:r>
    </w:p>
    <w:p w:rsidR="009F31CF" w:rsidRDefault="008B2935">
      <w:pPr>
        <w:pStyle w:val="NormalnyWeb"/>
        <w:spacing w:before="280" w:after="280"/>
        <w:rPr>
          <w:rFonts w:ascii="Calibri" w:hAnsi="Calibri"/>
        </w:rPr>
      </w:pPr>
      <w:r>
        <w:rPr>
          <w:rFonts w:ascii="Calibri" w:hAnsi="Calibri"/>
          <w:bCs/>
          <w:color w:val="000000"/>
          <w:sz w:val="22"/>
          <w:szCs w:val="22"/>
        </w:rPr>
        <w:t>Szczegółowe informacje można uzyskać w Dziale  Egzekucji Administracyjnej Urzędu Skarbowego                                w Słupsku.</w:t>
      </w:r>
      <w:r>
        <w:rPr>
          <w:rFonts w:ascii="Calibri" w:hAnsi="Calibri"/>
          <w:bCs/>
          <w:color w:val="000000"/>
          <w:sz w:val="20"/>
          <w:szCs w:val="20"/>
        </w:rPr>
        <w:t xml:space="preserve">                                                              </w:t>
      </w:r>
    </w:p>
    <w:p w:rsidR="009F31CF" w:rsidRDefault="008B2935">
      <w:pPr>
        <w:widowControl w:val="0"/>
        <w:tabs>
          <w:tab w:val="left" w:pos="270"/>
        </w:tabs>
        <w:spacing w:after="0" w:line="240" w:lineRule="auto"/>
        <w:jc w:val="both"/>
        <w:rPr>
          <w:rFonts w:ascii="Calibri" w:hAnsi="Calibri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</w:t>
      </w:r>
    </w:p>
    <w:p w:rsidR="009F31CF" w:rsidRDefault="009F31CF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Calibri" w:hAnsi="Calibri"/>
          <w:sz w:val="22"/>
          <w:szCs w:val="22"/>
        </w:rPr>
      </w:pPr>
    </w:p>
    <w:p w:rsidR="009F31CF" w:rsidRDefault="008B2935">
      <w:pPr>
        <w:pStyle w:val="TekstpismaKAS"/>
        <w:spacing w:before="0"/>
        <w:rPr>
          <w:sz w:val="22"/>
          <w:szCs w:val="22"/>
        </w:rPr>
      </w:pPr>
      <w:r>
        <w:rPr>
          <w:noProof/>
          <w:lang w:eastAsia="pl-PL"/>
        </w:rPr>
        <w:drawing>
          <wp:anchor distT="0" distB="635" distL="114300" distR="114935" simplePos="0" relativeHeight="9" behindDoc="0" locked="0" layoutInCell="0" allowOverlap="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 xml:space="preserve">telefonicznie – pod numerem </w:t>
      </w:r>
      <w:r>
        <w:rPr>
          <w:bCs/>
          <w:sz w:val="22"/>
          <w:szCs w:val="22"/>
        </w:rPr>
        <w:t xml:space="preserve">telefonu: </w:t>
      </w:r>
      <w:r>
        <w:rPr>
          <w:bCs/>
          <w:sz w:val="22"/>
          <w:szCs w:val="22"/>
        </w:rPr>
        <w:br/>
      </w:r>
      <w:r>
        <w:rPr>
          <w:bCs/>
          <w:color w:val="000000"/>
          <w:sz w:val="22"/>
          <w:szCs w:val="22"/>
        </w:rPr>
        <w:t>598447383</w:t>
      </w:r>
    </w:p>
    <w:p w:rsidR="009F31CF" w:rsidRDefault="009F31CF">
      <w:pPr>
        <w:pStyle w:val="TekstpismaKAS"/>
        <w:rPr>
          <w:rFonts w:ascii="Calibri" w:hAnsi="Calibri"/>
          <w:color w:val="2F5496" w:themeColor="accent1" w:themeShade="BF"/>
          <w:sz w:val="22"/>
          <w:szCs w:val="22"/>
          <w:lang w:eastAsia="pl-PL"/>
        </w:rPr>
      </w:pPr>
    </w:p>
    <w:p w:rsidR="009F31CF" w:rsidRDefault="008B2935">
      <w:pPr>
        <w:pStyle w:val="TekstpismaKAS"/>
        <w:rPr>
          <w:sz w:val="22"/>
          <w:szCs w:val="22"/>
        </w:rPr>
      </w:pPr>
      <w:r>
        <w:rPr>
          <w:noProof/>
          <w:lang w:eastAsia="pl-PL"/>
        </w:rPr>
        <w:drawing>
          <wp:anchor distT="0" distB="0" distL="114300" distR="114300" simplePos="0" relativeHeight="10" behindDoc="0" locked="0" layoutInCell="0" allowOverlap="1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>elektronicznie – napisz na adres:</w:t>
      </w:r>
    </w:p>
    <w:p w:rsidR="009F31CF" w:rsidRDefault="008B2935">
      <w:pPr>
        <w:pStyle w:val="TekstpismaKAS"/>
        <w:rPr>
          <w:sz w:val="22"/>
          <w:szCs w:val="22"/>
        </w:rPr>
      </w:pPr>
      <w:r>
        <w:rPr>
          <w:color w:val="000000"/>
          <w:sz w:val="22"/>
          <w:szCs w:val="22"/>
        </w:rPr>
        <w:t>olga.karwacka@mf.gov.pl</w:t>
      </w:r>
    </w:p>
    <w:p w:rsidR="009F31CF" w:rsidRDefault="008B2935">
      <w:pPr>
        <w:pStyle w:val="Standard"/>
        <w:spacing w:before="120" w:after="0" w:line="240" w:lineRule="auto"/>
      </w:pPr>
      <w:r>
        <w:rPr>
          <w:bCs/>
        </w:rPr>
        <w:t>oraz na stronie:</w:t>
      </w:r>
      <w:r>
        <w:t xml:space="preserve"> </w:t>
      </w:r>
      <w:hyperlink r:id="rId10">
        <w:r>
          <w:rPr>
            <w:rFonts w:cs="Calibri"/>
            <w:bCs/>
            <w:color w:val="0563C1"/>
            <w:u w:val="single"/>
          </w:rPr>
          <w:t>https://www.pomorskie.kas.gov.pl</w:t>
        </w:r>
      </w:hyperlink>
      <w:r>
        <w:rPr>
          <w:bCs/>
        </w:rPr>
        <w:t>,</w:t>
      </w:r>
      <w:r>
        <w:rPr>
          <w:bCs/>
        </w:rPr>
        <w:br/>
        <w:t>w zakładce ogłoszenia - obwieszczenia o licytacji.</w:t>
      </w:r>
    </w:p>
    <w:p w:rsidR="009F31CF" w:rsidRDefault="008B2935">
      <w:pPr>
        <w:pStyle w:val="rdtytuKAS"/>
        <w:rPr>
          <w:sz w:val="22"/>
          <w:szCs w:val="22"/>
        </w:rPr>
      </w:pPr>
      <w:r>
        <w:rPr>
          <w:color w:val="C00000"/>
          <w:sz w:val="22"/>
          <w:szCs w:val="22"/>
          <w:lang w:eastAsia="pl-PL"/>
        </w:rPr>
        <w:t xml:space="preserve">Przepisy prawa: </w:t>
      </w:r>
    </w:p>
    <w:p w:rsidR="009F31CF" w:rsidRDefault="008B2935">
      <w:pPr>
        <w:pStyle w:val="TekstpismaKAS"/>
        <w:rPr>
          <w:sz w:val="22"/>
          <w:szCs w:val="22"/>
        </w:rPr>
      </w:pPr>
      <w:r>
        <w:rPr>
          <w:sz w:val="22"/>
          <w:szCs w:val="22"/>
          <w:lang w:eastAsia="pl-PL"/>
        </w:rPr>
        <w:t>Art. 105 – art. 105a, art. 105c - 107 ustawy z dnia 17 czerwca 1966 r. o postępowaniu egzekucyjnym w ad</w:t>
      </w:r>
      <w:r>
        <w:rPr>
          <w:sz w:val="22"/>
          <w:szCs w:val="22"/>
          <w:lang w:eastAsia="pl-PL"/>
        </w:rPr>
        <w:t xml:space="preserve">ministracji (Dz.U. z 2025 r. poz. 132, z </w:t>
      </w:r>
      <w:proofErr w:type="spellStart"/>
      <w:r>
        <w:rPr>
          <w:sz w:val="22"/>
          <w:szCs w:val="22"/>
          <w:lang w:eastAsia="pl-PL"/>
        </w:rPr>
        <w:t>późn</w:t>
      </w:r>
      <w:proofErr w:type="spellEnd"/>
      <w:r>
        <w:rPr>
          <w:sz w:val="22"/>
          <w:szCs w:val="22"/>
          <w:lang w:eastAsia="pl-PL"/>
        </w:rPr>
        <w:t>. zm.).</w:t>
      </w:r>
    </w:p>
    <w:p w:rsidR="009F31CF" w:rsidRDefault="009F31CF">
      <w:pPr>
        <w:pStyle w:val="TekstpismaKAS"/>
        <w:rPr>
          <w:sz w:val="22"/>
          <w:szCs w:val="22"/>
        </w:rPr>
      </w:pPr>
    </w:p>
    <w:p w:rsidR="009F31CF" w:rsidRDefault="008B2935">
      <w:pPr>
        <w:spacing w:after="0" w:line="240" w:lineRule="auto"/>
        <w:contextualSpacing/>
        <w:jc w:val="both"/>
      </w:pPr>
      <w:r>
        <w:rPr>
          <w:b/>
          <w:bCs/>
          <w:lang w:eastAsia="pl-PL"/>
        </w:rPr>
        <w:t xml:space="preserve"> </w:t>
      </w:r>
      <w:r>
        <w:rPr>
          <w:b/>
          <w:bCs/>
          <w:lang w:eastAsia="pl-PL"/>
        </w:rPr>
        <w:tab/>
      </w:r>
      <w:r>
        <w:rPr>
          <w:b/>
          <w:bCs/>
          <w:lang w:eastAsia="pl-PL"/>
        </w:rPr>
        <w:tab/>
      </w:r>
      <w:r>
        <w:rPr>
          <w:b/>
          <w:bCs/>
          <w:lang w:eastAsia="pl-PL"/>
        </w:rPr>
        <w:tab/>
      </w:r>
      <w:r>
        <w:rPr>
          <w:b/>
          <w:bCs/>
          <w:lang w:eastAsia="pl-PL"/>
        </w:rPr>
        <w:tab/>
      </w:r>
      <w:r>
        <w:rPr>
          <w:b/>
          <w:bCs/>
          <w:lang w:eastAsia="pl-PL"/>
        </w:rPr>
        <w:tab/>
      </w:r>
      <w:r>
        <w:rPr>
          <w:b/>
          <w:bCs/>
          <w:lang w:eastAsia="pl-PL"/>
        </w:rPr>
        <w:tab/>
      </w:r>
      <w:r>
        <w:rPr>
          <w:b/>
          <w:bCs/>
          <w:lang w:eastAsia="pl-PL"/>
        </w:rPr>
        <w:tab/>
      </w:r>
      <w:r>
        <w:rPr>
          <w:b/>
          <w:bCs/>
          <w:lang w:eastAsia="pl-PL"/>
        </w:rPr>
        <w:tab/>
      </w:r>
      <w:r>
        <w:rPr>
          <w:b/>
          <w:bCs/>
          <w:lang w:eastAsia="pl-PL"/>
        </w:rPr>
        <w:tab/>
      </w:r>
      <w:r>
        <w:rPr>
          <w:b/>
          <w:bCs/>
          <w:lang w:eastAsia="pl-PL"/>
        </w:rPr>
        <w:tab/>
      </w:r>
      <w:r>
        <w:rPr>
          <w:b/>
          <w:bCs/>
          <w:lang w:eastAsia="pl-PL"/>
        </w:rPr>
        <w:tab/>
      </w:r>
      <w:r>
        <w:rPr>
          <w:b/>
          <w:bCs/>
          <w:lang w:eastAsia="pl-PL"/>
        </w:rPr>
        <w:tab/>
      </w:r>
      <w:r>
        <w:rPr>
          <w:b/>
          <w:bCs/>
          <w:lang w:eastAsia="pl-PL"/>
        </w:rPr>
        <w:tab/>
      </w:r>
      <w:r>
        <w:rPr>
          <w:b/>
          <w:bCs/>
          <w:lang w:eastAsia="pl-PL"/>
        </w:rPr>
        <w:tab/>
      </w:r>
      <w:r>
        <w:rPr>
          <w:b/>
          <w:bCs/>
          <w:lang w:eastAsia="pl-PL"/>
        </w:rPr>
        <w:tab/>
        <w:t xml:space="preserve">       </w:t>
      </w:r>
      <w:r>
        <w:rPr>
          <w:rFonts w:eastAsia="Times New Roman;Times New Roman" w:cs="Times New Roman;Times New Roman"/>
          <w:b/>
          <w:bCs/>
          <w:color w:val="000000"/>
          <w:sz w:val="20"/>
          <w:szCs w:val="20"/>
          <w:lang w:eastAsia="pl-PL"/>
        </w:rPr>
        <w:t xml:space="preserve">Z up. Naczelnika Urzędu Skarbowego w Słupsku </w:t>
      </w:r>
    </w:p>
    <w:p w:rsidR="009F31CF" w:rsidRDefault="008B2935">
      <w:pPr>
        <w:pStyle w:val="Default"/>
        <w:spacing w:after="0" w:line="240" w:lineRule="auto"/>
      </w:pPr>
      <w:r>
        <w:rPr>
          <w:rFonts w:ascii="Calibri" w:hAnsi="Calibri"/>
          <w:b/>
          <w:bCs/>
          <w:i/>
          <w:iCs/>
          <w:sz w:val="20"/>
          <w:szCs w:val="20"/>
        </w:rPr>
        <w:tab/>
      </w:r>
      <w:r>
        <w:rPr>
          <w:rFonts w:ascii="Calibri" w:hAnsi="Calibri"/>
          <w:b/>
          <w:bCs/>
          <w:i/>
          <w:iCs/>
          <w:sz w:val="20"/>
          <w:szCs w:val="20"/>
        </w:rPr>
        <w:tab/>
      </w:r>
      <w:r>
        <w:rPr>
          <w:rFonts w:ascii="Calibri" w:hAnsi="Calibri"/>
          <w:b/>
          <w:bCs/>
          <w:i/>
          <w:iCs/>
          <w:sz w:val="20"/>
          <w:szCs w:val="20"/>
        </w:rPr>
        <w:tab/>
      </w:r>
      <w:r>
        <w:rPr>
          <w:rFonts w:ascii="Calibri" w:hAnsi="Calibri"/>
          <w:b/>
          <w:bCs/>
          <w:i/>
          <w:iCs/>
          <w:sz w:val="20"/>
          <w:szCs w:val="20"/>
        </w:rPr>
        <w:tab/>
      </w:r>
      <w:r>
        <w:rPr>
          <w:rFonts w:ascii="Calibri" w:hAnsi="Calibri"/>
          <w:b/>
          <w:bCs/>
          <w:i/>
          <w:iCs/>
          <w:sz w:val="20"/>
          <w:szCs w:val="20"/>
        </w:rPr>
        <w:tab/>
      </w:r>
      <w:r>
        <w:rPr>
          <w:rFonts w:ascii="Calibri" w:hAnsi="Calibri"/>
          <w:b/>
          <w:bCs/>
          <w:i/>
          <w:iCs/>
          <w:sz w:val="20"/>
          <w:szCs w:val="20"/>
        </w:rPr>
        <w:tab/>
      </w:r>
      <w:r>
        <w:rPr>
          <w:rFonts w:ascii="Calibri" w:hAnsi="Calibri"/>
          <w:b/>
          <w:bCs/>
          <w:i/>
          <w:iCs/>
          <w:sz w:val="20"/>
          <w:szCs w:val="20"/>
        </w:rPr>
        <w:tab/>
      </w:r>
      <w:r>
        <w:rPr>
          <w:rFonts w:ascii="Calibri" w:hAnsi="Calibri"/>
          <w:b/>
          <w:bCs/>
          <w:i/>
          <w:iCs/>
          <w:sz w:val="20"/>
          <w:szCs w:val="20"/>
        </w:rPr>
        <w:tab/>
        <w:t xml:space="preserve">              </w:t>
      </w:r>
      <w:r>
        <w:rPr>
          <w:rFonts w:ascii="Calibri" w:hAnsi="Calibri"/>
          <w:b/>
          <w:bCs/>
          <w:i/>
          <w:iCs/>
          <w:sz w:val="20"/>
          <w:szCs w:val="20"/>
        </w:rPr>
        <w:tab/>
      </w:r>
      <w:r>
        <w:rPr>
          <w:rFonts w:ascii="Calibri" w:hAnsi="Calibri"/>
          <w:b/>
          <w:bCs/>
          <w:i/>
          <w:iCs/>
          <w:sz w:val="20"/>
          <w:szCs w:val="20"/>
        </w:rPr>
        <w:tab/>
      </w:r>
      <w:r>
        <w:rPr>
          <w:rFonts w:ascii="Calibri" w:hAnsi="Calibri"/>
          <w:b/>
          <w:bCs/>
          <w:i/>
          <w:iCs/>
          <w:sz w:val="20"/>
          <w:szCs w:val="20"/>
        </w:rPr>
        <w:tab/>
      </w:r>
      <w:r>
        <w:rPr>
          <w:rFonts w:ascii="Calibri" w:hAnsi="Calibri"/>
          <w:b/>
          <w:bCs/>
          <w:i/>
          <w:iCs/>
          <w:sz w:val="20"/>
          <w:szCs w:val="20"/>
        </w:rPr>
        <w:tab/>
      </w:r>
      <w:r>
        <w:rPr>
          <w:rFonts w:ascii="Calibri" w:hAnsi="Calibri"/>
          <w:b/>
          <w:bCs/>
          <w:i/>
          <w:iCs/>
          <w:sz w:val="20"/>
          <w:szCs w:val="20"/>
        </w:rPr>
        <w:tab/>
      </w:r>
      <w:r>
        <w:rPr>
          <w:rFonts w:ascii="Calibri" w:hAnsi="Calibri"/>
          <w:b/>
          <w:bCs/>
          <w:i/>
          <w:iCs/>
          <w:sz w:val="20"/>
          <w:szCs w:val="20"/>
        </w:rPr>
        <w:tab/>
      </w:r>
      <w:r>
        <w:rPr>
          <w:rFonts w:ascii="Calibri" w:hAnsi="Calibri"/>
          <w:b/>
          <w:bCs/>
          <w:i/>
          <w:iCs/>
          <w:sz w:val="20"/>
          <w:szCs w:val="20"/>
        </w:rPr>
        <w:tab/>
      </w:r>
      <w:r>
        <w:rPr>
          <w:rFonts w:ascii="Calibri" w:hAnsi="Calibri"/>
          <w:b/>
          <w:bCs/>
          <w:i/>
          <w:iCs/>
          <w:sz w:val="20"/>
          <w:szCs w:val="20"/>
        </w:rPr>
        <w:tab/>
        <w:t xml:space="preserve">                    Piotr </w:t>
      </w:r>
      <w:proofErr w:type="spellStart"/>
      <w:r>
        <w:rPr>
          <w:rFonts w:ascii="Calibri" w:hAnsi="Calibri"/>
          <w:b/>
          <w:bCs/>
          <w:i/>
          <w:iCs/>
          <w:sz w:val="20"/>
          <w:szCs w:val="20"/>
        </w:rPr>
        <w:t>Giers</w:t>
      </w:r>
      <w:proofErr w:type="spellEnd"/>
      <w:r>
        <w:rPr>
          <w:rFonts w:ascii="Calibri" w:hAnsi="Calibri"/>
          <w:b/>
          <w:bCs/>
          <w:i/>
          <w:iCs/>
          <w:sz w:val="20"/>
          <w:szCs w:val="20"/>
        </w:rPr>
        <w:t xml:space="preserve"> </w:t>
      </w:r>
    </w:p>
    <w:p w:rsidR="009F31CF" w:rsidRDefault="008B2935">
      <w:pPr>
        <w:pStyle w:val="Default"/>
        <w:spacing w:after="0" w:line="240" w:lineRule="auto"/>
        <w:jc w:val="center"/>
      </w:pPr>
      <w:r>
        <w:rPr>
          <w:rFonts w:ascii="Calibri" w:hAnsi="Calibri"/>
          <w:b/>
          <w:bCs/>
          <w:sz w:val="20"/>
          <w:szCs w:val="20"/>
        </w:rPr>
        <w:tab/>
      </w:r>
      <w:r>
        <w:rPr>
          <w:rFonts w:ascii="Calibri" w:hAnsi="Calibri"/>
          <w:b/>
          <w:bCs/>
          <w:sz w:val="20"/>
          <w:szCs w:val="20"/>
        </w:rPr>
        <w:tab/>
      </w:r>
      <w:r>
        <w:rPr>
          <w:rFonts w:ascii="Calibri" w:hAnsi="Calibri"/>
          <w:b/>
          <w:bCs/>
          <w:sz w:val="20"/>
          <w:szCs w:val="20"/>
        </w:rPr>
        <w:tab/>
      </w:r>
      <w:r>
        <w:rPr>
          <w:rFonts w:ascii="Calibri" w:hAnsi="Calibri"/>
          <w:b/>
          <w:bCs/>
          <w:sz w:val="20"/>
          <w:szCs w:val="20"/>
        </w:rPr>
        <w:tab/>
      </w:r>
      <w:r>
        <w:rPr>
          <w:rFonts w:ascii="Calibri" w:hAnsi="Calibri"/>
          <w:b/>
          <w:bCs/>
          <w:sz w:val="20"/>
          <w:szCs w:val="20"/>
        </w:rPr>
        <w:tab/>
      </w:r>
      <w:r>
        <w:rPr>
          <w:rFonts w:ascii="Calibri" w:hAnsi="Calibri"/>
          <w:b/>
          <w:bCs/>
          <w:sz w:val="20"/>
          <w:szCs w:val="20"/>
        </w:rPr>
        <w:tab/>
      </w:r>
      <w:r>
        <w:rPr>
          <w:rFonts w:ascii="Calibri" w:hAnsi="Calibri"/>
          <w:b/>
          <w:bCs/>
          <w:sz w:val="20"/>
          <w:szCs w:val="20"/>
        </w:rPr>
        <w:t xml:space="preserve">                                                 Kierownik Działu </w:t>
      </w:r>
    </w:p>
    <w:p w:rsidR="009F31CF" w:rsidRDefault="008B2935">
      <w:pPr>
        <w:spacing w:after="0" w:line="240" w:lineRule="auto"/>
        <w:contextualSpacing/>
        <w:jc w:val="both"/>
      </w:pPr>
      <w:r>
        <w:rPr>
          <w:rFonts w:eastAsia="Times New Roman;Times New Roman" w:cs="Times New Roman;Times New Roman"/>
          <w:b/>
          <w:bCs/>
          <w:color w:val="000000"/>
          <w:sz w:val="20"/>
          <w:szCs w:val="20"/>
          <w:lang w:eastAsia="pl-PL"/>
        </w:rPr>
        <w:tab/>
      </w:r>
      <w:r>
        <w:rPr>
          <w:rFonts w:eastAsia="Times New Roman;Times New Roman" w:cs="Times New Roman;Times New Roman"/>
          <w:b/>
          <w:bCs/>
          <w:color w:val="000000"/>
          <w:sz w:val="20"/>
          <w:szCs w:val="20"/>
          <w:lang w:eastAsia="pl-PL"/>
        </w:rPr>
        <w:tab/>
      </w:r>
      <w:r>
        <w:rPr>
          <w:rFonts w:eastAsia="Times New Roman;Times New Roman" w:cs="Times New Roman;Times New Roman"/>
          <w:b/>
          <w:bCs/>
          <w:color w:val="000000"/>
          <w:sz w:val="20"/>
          <w:szCs w:val="20"/>
          <w:lang w:eastAsia="pl-PL"/>
        </w:rPr>
        <w:tab/>
      </w:r>
      <w:r>
        <w:rPr>
          <w:rFonts w:eastAsia="Times New Roman;Times New Roman" w:cs="Times New Roman;Times New Roman"/>
          <w:b/>
          <w:bCs/>
          <w:color w:val="000000"/>
          <w:sz w:val="20"/>
          <w:szCs w:val="20"/>
          <w:lang w:eastAsia="pl-PL"/>
        </w:rPr>
        <w:tab/>
      </w:r>
      <w:r>
        <w:rPr>
          <w:rFonts w:eastAsia="Times New Roman;Times New Roman" w:cs="Times New Roman;Times New Roman"/>
          <w:b/>
          <w:bCs/>
          <w:color w:val="000000"/>
          <w:sz w:val="20"/>
          <w:szCs w:val="20"/>
          <w:lang w:eastAsia="pl-PL"/>
        </w:rPr>
        <w:tab/>
      </w:r>
      <w:r>
        <w:rPr>
          <w:rFonts w:eastAsia="Times New Roman;Times New Roman" w:cs="Times New Roman;Times New Roman"/>
          <w:b/>
          <w:bCs/>
          <w:color w:val="000000"/>
          <w:sz w:val="20"/>
          <w:szCs w:val="20"/>
          <w:lang w:eastAsia="pl-PL"/>
        </w:rPr>
        <w:tab/>
      </w:r>
      <w:r>
        <w:rPr>
          <w:rFonts w:eastAsia="Times New Roman;Times New Roman" w:cs="Times New Roman;Times New Roman"/>
          <w:b/>
          <w:bCs/>
          <w:color w:val="000000"/>
          <w:sz w:val="20"/>
          <w:szCs w:val="20"/>
          <w:lang w:eastAsia="pl-PL"/>
        </w:rPr>
        <w:tab/>
      </w:r>
      <w:r>
        <w:rPr>
          <w:rFonts w:eastAsia="Times New Roman;Times New Roman" w:cs="Times New Roman;Times New Roman"/>
          <w:b/>
          <w:bCs/>
          <w:color w:val="000000"/>
          <w:sz w:val="20"/>
          <w:szCs w:val="20"/>
          <w:lang w:eastAsia="pl-PL"/>
        </w:rPr>
        <w:tab/>
      </w:r>
      <w:r>
        <w:rPr>
          <w:rFonts w:eastAsia="Times New Roman;Times New Roman" w:cs="Times New Roman;Times New Roman"/>
          <w:b/>
          <w:bCs/>
          <w:color w:val="000000"/>
          <w:sz w:val="20"/>
          <w:szCs w:val="20"/>
          <w:lang w:eastAsia="pl-PL"/>
        </w:rPr>
        <w:tab/>
      </w:r>
      <w:r>
        <w:rPr>
          <w:rFonts w:eastAsia="Times New Roman;Times New Roman" w:cs="Times New Roman;Times New Roman"/>
          <w:b/>
          <w:bCs/>
          <w:color w:val="000000"/>
          <w:sz w:val="20"/>
          <w:szCs w:val="20"/>
          <w:lang w:eastAsia="pl-PL"/>
        </w:rPr>
        <w:tab/>
      </w:r>
      <w:r>
        <w:rPr>
          <w:rFonts w:eastAsia="Times New Roman;Times New Roman" w:cs="Times New Roman;Times New Roman"/>
          <w:b/>
          <w:bCs/>
          <w:color w:val="000000"/>
          <w:sz w:val="20"/>
          <w:szCs w:val="20"/>
          <w:lang w:eastAsia="pl-PL"/>
        </w:rPr>
        <w:tab/>
      </w:r>
      <w:r>
        <w:rPr>
          <w:rFonts w:eastAsia="Times New Roman;Times New Roman" w:cs="Times New Roman;Times New Roman"/>
          <w:b/>
          <w:bCs/>
          <w:color w:val="000000"/>
          <w:sz w:val="20"/>
          <w:szCs w:val="20"/>
          <w:lang w:eastAsia="pl-PL"/>
        </w:rPr>
        <w:tab/>
        <w:t xml:space="preserve">                         </w:t>
      </w:r>
      <w:r>
        <w:rPr>
          <w:rFonts w:eastAsia="Times New Roman;Times New Roman" w:cs="Times New Roman;Times New Roman"/>
          <w:b/>
          <w:bCs/>
          <w:i/>
          <w:iCs/>
          <w:color w:val="000000"/>
          <w:sz w:val="20"/>
          <w:szCs w:val="20"/>
          <w:lang w:eastAsia="pl-PL"/>
        </w:rPr>
        <w:t xml:space="preserve">Podpisano </w:t>
      </w:r>
      <w:proofErr w:type="spellStart"/>
      <w:r>
        <w:rPr>
          <w:rFonts w:eastAsia="Times New Roman;Times New Roman" w:cs="Calibri"/>
          <w:b/>
          <w:bCs/>
          <w:i/>
          <w:iCs/>
          <w:color w:val="000000"/>
          <w:sz w:val="20"/>
          <w:szCs w:val="20"/>
          <w:lang w:val="en-US" w:eastAsia="pl-PL" w:bidi="pl-PL"/>
        </w:rPr>
        <w:t>kwalifikowanym</w:t>
      </w:r>
      <w:proofErr w:type="spellEnd"/>
      <w:r>
        <w:rPr>
          <w:rFonts w:eastAsia="Times New Roman;Times New Roman" w:cs="Calibri"/>
          <w:b/>
          <w:bCs/>
          <w:i/>
          <w:iCs/>
          <w:color w:val="000000"/>
          <w:sz w:val="20"/>
          <w:szCs w:val="20"/>
          <w:lang w:val="en-US" w:eastAsia="pl-PL" w:bidi="pl-PL"/>
        </w:rPr>
        <w:t xml:space="preserve"> </w:t>
      </w:r>
      <w:proofErr w:type="spellStart"/>
      <w:r>
        <w:rPr>
          <w:rFonts w:eastAsia="Times New Roman;Times New Roman" w:cs="Calibri"/>
          <w:b/>
          <w:bCs/>
          <w:i/>
          <w:iCs/>
          <w:color w:val="000000"/>
          <w:sz w:val="20"/>
          <w:szCs w:val="20"/>
          <w:lang w:val="en-US" w:eastAsia="pl-PL" w:bidi="pl-PL"/>
        </w:rPr>
        <w:t>podpisem</w:t>
      </w:r>
      <w:proofErr w:type="spellEnd"/>
      <w:r>
        <w:rPr>
          <w:rFonts w:eastAsia="Times New Roman;Times New Roman" w:cs="Calibri"/>
          <w:b/>
          <w:bCs/>
          <w:i/>
          <w:iCs/>
          <w:color w:val="000000"/>
          <w:sz w:val="20"/>
          <w:szCs w:val="20"/>
          <w:lang w:val="en-US" w:eastAsia="pl-PL" w:bidi="pl-PL"/>
        </w:rPr>
        <w:t xml:space="preserve"> </w:t>
      </w:r>
      <w:proofErr w:type="spellStart"/>
      <w:r>
        <w:rPr>
          <w:rFonts w:eastAsia="Times New Roman;Times New Roman" w:cs="Calibri"/>
          <w:b/>
          <w:bCs/>
          <w:i/>
          <w:iCs/>
          <w:color w:val="000000"/>
          <w:sz w:val="20"/>
          <w:szCs w:val="20"/>
          <w:lang w:val="en-US" w:eastAsia="pl-PL" w:bidi="pl-PL"/>
        </w:rPr>
        <w:t>elektronicznym</w:t>
      </w:r>
      <w:proofErr w:type="spellEnd"/>
      <w:r>
        <w:rPr>
          <w:rFonts w:eastAsia="Times New Roman;Times New Roman" w:cs="Calibri"/>
          <w:b/>
          <w:bCs/>
          <w:i/>
          <w:iCs/>
          <w:color w:val="000000"/>
          <w:sz w:val="20"/>
          <w:szCs w:val="20"/>
          <w:lang w:val="en-US" w:eastAsia="pl-PL" w:bidi="pl-PL"/>
        </w:rPr>
        <w:t xml:space="preserve"> </w:t>
      </w:r>
    </w:p>
    <w:sectPr w:rsidR="009F31C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122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2935" w:rsidRDefault="008B2935">
      <w:pPr>
        <w:spacing w:after="0" w:line="240" w:lineRule="auto"/>
      </w:pPr>
      <w:r>
        <w:separator/>
      </w:r>
    </w:p>
  </w:endnote>
  <w:endnote w:type="continuationSeparator" w:id="0">
    <w:p w:rsidR="008B2935" w:rsidRDefault="008B2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;Times New 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1CF" w:rsidRDefault="009F31C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1CF" w:rsidRDefault="008B2935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1" allowOverlap="1" wp14:anchorId="0209B819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720" cy="3067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F31CF" w:rsidRDefault="008B2935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23A00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D23A00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:rsidR="009F31CF" w:rsidRDefault="009F31CF">
                          <w:pPr>
                            <w:pStyle w:val="Zawartoramkius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209B819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" filled="f" stroked="f">
              <v:textbox>
                <w:txbxContent>
                  <w:p w:rsidR="009F31CF" w:rsidRDefault="008B2935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D23A00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D23A00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9F31CF" w:rsidRDefault="009F31CF">
                    <w:pPr>
                      <w:pStyle w:val="Zawartoramkiuser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1CF" w:rsidRDefault="008B2935">
    <w:pPr>
      <w:pStyle w:val="StopkaKAS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" behindDoc="1" locked="0" layoutInCell="1" allowOverlap="1" wp14:anchorId="70D1727D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6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720" cy="3067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F31CF" w:rsidRDefault="008B2935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23A00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D23A00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:rsidR="009F31CF" w:rsidRDefault="009F31CF">
                          <w:pPr>
                            <w:pStyle w:val="Zawartoramkius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0D1727D" id="_x0000_s1027" style="position:absolute;left:0;text-align:left;margin-left:453.6pt;margin-top:0;width:56.75pt;height:24.15pt;z-index:-503316476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" filled="f" stroked="f">
              <v:textbox>
                <w:txbxContent>
                  <w:p w:rsidR="009F31CF" w:rsidRDefault="008B2935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D23A00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D23A00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9F31CF" w:rsidRDefault="009F31CF">
                    <w:pPr>
                      <w:pStyle w:val="Zawartoramkiuser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6" behindDoc="1" locked="0" layoutInCell="0" allowOverlap="1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7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Calibri"/>
      </w:rPr>
      <w:t xml:space="preserve">e-mail: us.slupsk@mf.gov.pl </w:t>
    </w:r>
    <w:r>
      <w:rPr>
        <w:rFonts w:cstheme="minorHAnsi"/>
      </w:rPr>
      <w:t>●</w:t>
    </w:r>
    <w:r>
      <w:rPr>
        <w:rFonts w:cs="Calibri"/>
      </w:rPr>
      <w:t xml:space="preserve"> </w:t>
    </w:r>
    <w:proofErr w:type="spellStart"/>
    <w:r>
      <w:rPr>
        <w:rFonts w:cs="Calibri"/>
      </w:rPr>
      <w:t>ePUAP</w:t>
    </w:r>
    <w:proofErr w:type="spellEnd"/>
    <w:r>
      <w:rPr>
        <w:rFonts w:cs="Calibri"/>
      </w:rPr>
      <w:t xml:space="preserve"> 1937qasavz/</w:t>
    </w:r>
    <w:proofErr w:type="spellStart"/>
    <w:r>
      <w:rPr>
        <w:rFonts w:cs="Calibri"/>
      </w:rPr>
      <w:t>SkrytkaESP</w:t>
    </w:r>
    <w:proofErr w:type="spellEnd"/>
    <w:r>
      <w:rPr>
        <w:rFonts w:cs="Calibri"/>
      </w:rPr>
      <w:t xml:space="preserve"> </w:t>
    </w:r>
  </w:p>
  <w:p w:rsidR="009F31CF" w:rsidRDefault="008B2935">
    <w:pPr>
      <w:pStyle w:val="StopkaKAS"/>
    </w:pPr>
    <w:r>
      <w:rPr>
        <w:rFonts w:cstheme="minorHAnsi"/>
      </w:rPr>
      <w:t>●</w:t>
    </w:r>
    <w:r>
      <w:rPr>
        <w:rFonts w:cs="Calibri"/>
      </w:rPr>
      <w:t xml:space="preserve"> </w:t>
    </w:r>
    <w:hyperlink r:id="rId2">
      <w:r>
        <w:rPr>
          <w:rFonts w:cs="Calibri"/>
          <w:color w:val="000000"/>
          <w:u w:val="single"/>
        </w:rPr>
        <w:t>https://www.pomorskie.kas.gov.pl</w:t>
      </w:r>
    </w:hyperlink>
    <w:r>
      <w:rPr>
        <w:rFonts w:cs="Calibri"/>
        <w:color w:val="000000"/>
      </w:rPr>
      <w:t xml:space="preserve"> /</w:t>
    </w:r>
    <w:proofErr w:type="spellStart"/>
    <w:r>
      <w:rPr>
        <w:rFonts w:cs="Calibri"/>
        <w:color w:val="000000"/>
      </w:rPr>
      <w:t>urzad-</w:t>
    </w:r>
    <w:r>
      <w:rPr>
        <w:rFonts w:cs="Calibri"/>
      </w:rPr>
      <w:t>skarbowy-w-slupsku</w:t>
    </w:r>
    <w:proofErr w:type="spellEnd"/>
  </w:p>
  <w:p w:rsidR="009F31CF" w:rsidRDefault="008B2935">
    <w:pPr>
      <w:pStyle w:val="StopkaKAS"/>
      <w:rPr>
        <w:rFonts w:cs="Calibri"/>
      </w:rPr>
    </w:pPr>
    <w:r>
      <w:rPr>
        <w:rFonts w:cs="Calibri"/>
      </w:rPr>
      <w:t>Urząd Skarbowy w Słupsku, ul. Szczecińska 59, 76-</w:t>
    </w:r>
    <w:r>
      <w:rPr>
        <w:rFonts w:cs="Calibri"/>
      </w:rPr>
      <w:t>200 Słupsk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2935" w:rsidRDefault="008B2935">
      <w:pPr>
        <w:spacing w:after="0" w:line="240" w:lineRule="auto"/>
      </w:pPr>
      <w:r>
        <w:separator/>
      </w:r>
    </w:p>
  </w:footnote>
  <w:footnote w:type="continuationSeparator" w:id="0">
    <w:p w:rsidR="008B2935" w:rsidRDefault="008B29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1CF" w:rsidRDefault="009F31C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1CF" w:rsidRDefault="009F31C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1CF" w:rsidRDefault="009F31CF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23834"/>
    <w:multiLevelType w:val="multilevel"/>
    <w:tmpl w:val="C01099D4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8FC6809"/>
    <w:multiLevelType w:val="multilevel"/>
    <w:tmpl w:val="DFD816B2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66D03EC"/>
    <w:multiLevelType w:val="multilevel"/>
    <w:tmpl w:val="2B34BB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1CF"/>
    <w:rsid w:val="002642E1"/>
    <w:rsid w:val="008B2935"/>
    <w:rsid w:val="009F31CF"/>
    <w:rsid w:val="00D2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6B0EA9-1C51-44F4-BAA8-D94D76C87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styleId="UyteHipercze">
    <w:name w:val="FollowedHyperlink"/>
    <w:rPr>
      <w:color w:val="800000"/>
      <w:u w:val="single"/>
    </w:rPr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InternetLink4">
    <w:name w:val="Internet Link4"/>
    <w:qFormat/>
    <w:rPr>
      <w:color w:val="000080"/>
      <w:u w:val="single"/>
    </w:rPr>
  </w:style>
  <w:style w:type="character" w:customStyle="1" w:styleId="InternetLink5">
    <w:name w:val="Internet Link5"/>
    <w:qFormat/>
    <w:rPr>
      <w:color w:val="000080"/>
      <w:u w:val="single"/>
    </w:rPr>
  </w:style>
  <w:style w:type="character" w:customStyle="1" w:styleId="InternetLink6">
    <w:name w:val="Internet Link6"/>
    <w:qFormat/>
    <w:rPr>
      <w:color w:val="000080"/>
      <w:u w:val="single"/>
    </w:rPr>
  </w:style>
  <w:style w:type="character" w:customStyle="1" w:styleId="Znakinumeracjiuser">
    <w:name w:val="Znaki numeracji (user)"/>
    <w:qFormat/>
  </w:style>
  <w:style w:type="character" w:customStyle="1" w:styleId="InternetLink7">
    <w:name w:val="Internet Link7"/>
    <w:qFormat/>
    <w:rPr>
      <w:color w:val="000080"/>
      <w:u w:val="single"/>
    </w:rPr>
  </w:style>
  <w:style w:type="character" w:customStyle="1" w:styleId="InternetLink8">
    <w:name w:val="Internet Link8"/>
    <w:qFormat/>
    <w:rPr>
      <w:color w:val="000080"/>
      <w:u w:val="single"/>
    </w:rPr>
  </w:style>
  <w:style w:type="character" w:styleId="Hipercze">
    <w:name w:val="Hyperlink"/>
    <w:rPr>
      <w:color w:val="000080"/>
      <w:u w:val="single"/>
    </w:rPr>
  </w:style>
  <w:style w:type="character" w:customStyle="1" w:styleId="Teksttreci">
    <w:name w:val="Tekst treści_"/>
    <w:basedOn w:val="Domylnaczcionkaakapitu"/>
    <w:qFormat/>
    <w:rPr>
      <w:rFonts w:ascii="Arial" w:hAnsi="Arial"/>
      <w:b w:val="0"/>
      <w:i w:val="0"/>
      <w:caps w:val="0"/>
      <w:smallCaps w:val="0"/>
      <w:strike w:val="0"/>
      <w:dstrike w:val="0"/>
      <w:color w:val="000000"/>
      <w:sz w:val="20"/>
      <w:u w:val="none"/>
    </w:rPr>
  </w:style>
  <w:style w:type="character" w:customStyle="1" w:styleId="Teksttreci105pt">
    <w:name w:val="Tekst treści + 10.5 pt"/>
    <w:basedOn w:val="Teksttreci"/>
    <w:qFormat/>
    <w:rPr>
      <w:rFonts w:ascii="Arial" w:hAnsi="Arial"/>
      <w:b w:val="0"/>
      <w:i w:val="0"/>
      <w:caps w:val="0"/>
      <w:smallCaps w:val="0"/>
      <w:strike w:val="0"/>
      <w:dstrike w:val="0"/>
      <w:color w:val="000000"/>
      <w:sz w:val="21"/>
      <w:u w:val="none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user">
    <w:name w:val="Zawartość ramki (user)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2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qFormat/>
    <w:rsid w:val="0046302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treci0">
    <w:name w:val="Tekst treści"/>
    <w:basedOn w:val="Normalny"/>
    <w:qFormat/>
    <w:pPr>
      <w:shd w:val="clear" w:color="auto" w:fill="FFFFFF"/>
      <w:spacing w:before="240" w:after="240" w:line="0" w:lineRule="atLeast"/>
      <w:ind w:hanging="760"/>
    </w:pPr>
    <w:rPr>
      <w:rFonts w:ascii="Arial" w:hAnsi="Arial"/>
      <w:sz w:val="20"/>
    </w:rPr>
  </w:style>
  <w:style w:type="paragraph" w:customStyle="1" w:styleId="Zawartoramki">
    <w:name w:val="Zawartość ramki"/>
    <w:basedOn w:val="Normalny"/>
    <w:qFormat/>
  </w:style>
  <w:style w:type="paragraph" w:customStyle="1" w:styleId="Default">
    <w:name w:val="Default"/>
    <w:basedOn w:val="Normalny"/>
    <w:qFormat/>
    <w:rPr>
      <w:rFonts w:ascii="Times New Roman;Times New Roman" w:eastAsia="Times New Roman;Times New Roman" w:hAnsi="Times New Roman;Times New Roman" w:cs="Times New Roman;Times New Roman"/>
      <w:color w:val="000000"/>
      <w:sz w:val="24"/>
      <w:szCs w:val="24"/>
    </w:rPr>
  </w:style>
  <w:style w:type="numbering" w:customStyle="1" w:styleId="Bezlistyuser">
    <w:name w:val="Bez listy (user)"/>
    <w:uiPriority w:val="99"/>
    <w:semiHidden/>
    <w:unhideWhenUsed/>
    <w:qFormat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pomorskie.kas.gov.pl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morskie.kas.gov.pl/" TargetMode="External"/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509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Wietrzyńska Dagmara</cp:lastModifiedBy>
  <cp:revision>57</cp:revision>
  <cp:lastPrinted>2026-01-30T10:38:00Z</cp:lastPrinted>
  <dcterms:created xsi:type="dcterms:W3CDTF">2024-08-08T05:50:00Z</dcterms:created>
  <dcterms:modified xsi:type="dcterms:W3CDTF">2026-01-30T10:38:00Z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