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left="1418"/>
        <w:contextualSpacing/>
        <w:rPr>
          <w:sz w:val="22"/>
          <w:szCs w:val="22"/>
        </w:rPr>
      </w:pPr>
      <w:bookmarkStart w:id="0" w:name="_GoBack"/>
      <w:bookmarkEnd w:id="0"/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cstheme="minorHAnsi"/>
          <w:b/>
          <w:caps/>
          <w:sz w:val="22"/>
          <w:szCs w:val="22"/>
        </w:rPr>
        <w:t>Naczelnik</w:t>
      </w:r>
    </w:p>
    <w:p>
      <w:pPr>
        <w:pStyle w:val="Normal"/>
        <w:spacing w:lineRule="auto" w:line="240" w:before="0" w:after="240"/>
        <w:ind w:left="1418"/>
        <w:contextualSpacing/>
        <w:rPr>
          <w:sz w:val="22"/>
          <w:szCs w:val="22"/>
        </w:rPr>
      </w:pPr>
      <w:r>
        <w:rPr>
          <w:rFonts w:cs="Calibri" w:cstheme="minorHAnsi"/>
          <w:b/>
          <w:caps/>
          <w:sz w:val="22"/>
          <w:szCs w:val="22"/>
        </w:rPr>
        <w:t>Urzędu skarbowego</w:t>
      </w:r>
    </w:p>
    <w:p>
      <w:pPr>
        <w:pStyle w:val="Normal"/>
        <w:spacing w:lineRule="auto" w:line="240" w:before="0" w:after="240"/>
        <w:ind w:left="1418"/>
        <w:contextualSpacing/>
        <w:rPr>
          <w:sz w:val="22"/>
          <w:szCs w:val="22"/>
        </w:rPr>
      </w:pPr>
      <w:r>
        <w:rPr>
          <w:rFonts w:cs="Calibri" w:cstheme="minorHAnsi"/>
          <w:b/>
          <w:caps/>
          <w:sz w:val="22"/>
          <w:szCs w:val="22"/>
        </w:rPr>
        <w:t>w SŁUPSKU</w:t>
      </w:r>
    </w:p>
    <w:p>
      <w:pPr>
        <w:pStyle w:val="Normal"/>
        <w:spacing w:before="0" w:after="0"/>
        <w:contextualSpacing/>
        <w:jc w:val="right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0"/>
        <w:contextualSpacing/>
        <w:jc w:val="right"/>
        <w:rPr>
          <w:sz w:val="22"/>
          <w:szCs w:val="22"/>
        </w:rPr>
      </w:pPr>
      <w:r>
        <mc:AlternateContent>
          <mc:Choice Requires="wps">
            <w:drawing>
              <wp:anchor behindDoc="0" distT="0" distB="62230" distL="121920" distR="80010" simplePos="0" locked="0" layoutInCell="0" allowOverlap="0" relativeHeight="8" wp14:anchorId="30395753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635"/>
                <wp:effectExtent l="635" t="6350" r="0" b="6350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5pt,2.85pt" ID="Łącznik prosty 2" stroked="t" o:allowincell="f" style="position:absolute" wp14:anchorId="30395753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color w:val="000000"/>
          <w:sz w:val="22"/>
          <w:szCs w:val="22"/>
        </w:rPr>
        <w:t>Słupsk, 3</w:t>
      </w:r>
      <w:r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 xml:space="preserve"> stycznia 2026 roku</w:t>
      </w:r>
    </w:p>
    <w:p>
      <w:pPr>
        <w:pStyle w:val="TytupismaKAS"/>
        <w:jc w:val="center"/>
        <w:rPr>
          <w:sz w:val="28"/>
          <w:szCs w:val="28"/>
        </w:rPr>
      </w:pPr>
      <w:r>
        <w:rPr>
          <w:color w:val="C00000"/>
          <w:sz w:val="28"/>
          <w:szCs w:val="28"/>
        </w:rPr>
        <w:t xml:space="preserve">OBWIESZCZENIE O </w:t>
      </w:r>
      <w:r>
        <w:rPr>
          <w:color w:val="C00000"/>
          <w:sz w:val="28"/>
          <w:szCs w:val="28"/>
        </w:rPr>
        <w:t>DRUGIEJ</w:t>
      </w:r>
      <w:r>
        <w:rPr>
          <w:color w:val="C00000"/>
          <w:sz w:val="28"/>
          <w:szCs w:val="28"/>
        </w:rPr>
        <w:t xml:space="preserve"> LICYTACJI RUCHOMOŚCI</w:t>
      </w:r>
    </w:p>
    <w:p>
      <w:pPr>
        <w:pStyle w:val="Standard"/>
        <w:spacing w:lineRule="auto" w:line="240" w:before="288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40" w:before="288" w:after="0"/>
        <w:rPr>
          <w:sz w:val="22"/>
          <w:szCs w:val="22"/>
        </w:rPr>
      </w:pPr>
      <w:r>
        <w:rPr>
          <w:bCs/>
          <w:sz w:val="22"/>
          <w:szCs w:val="22"/>
        </w:rPr>
        <w:t>Szanowni Państwo,</w:t>
      </w:r>
    </w:p>
    <w:p>
      <w:pPr>
        <w:pStyle w:val="Standard"/>
        <w:spacing w:lineRule="auto" w:line="276" w:before="288" w:after="0"/>
        <w:rPr>
          <w:sz w:val="22"/>
          <w:szCs w:val="22"/>
        </w:rPr>
      </w:pPr>
      <w:r>
        <w:rPr>
          <w:bCs/>
          <w:sz w:val="22"/>
          <w:szCs w:val="22"/>
        </w:rPr>
        <w:t>informuję o sprzedaży w drodze licytacji publicznej ruchomości należącej do Skarbu Państwa na podstawie prawomocnego wyroku sądowego.</w:t>
      </w:r>
    </w:p>
    <w:p>
      <w:pPr>
        <w:pStyle w:val="Normal"/>
        <w:spacing w:before="240" w:after="240"/>
        <w:ind w:hanging="1191" w:left="1191"/>
        <w:rPr/>
      </w:pPr>
      <w:r>
        <w:rPr>
          <w:rStyle w:val="Nagwek2Znak"/>
          <w:color w:val="C00000"/>
          <w:sz w:val="22"/>
          <w:szCs w:val="22"/>
        </w:rPr>
        <w:t>Termin</w:t>
      </w:r>
      <w:r>
        <w:rPr>
          <w:rStyle w:val="Nagwek2Znak"/>
          <w:sz w:val="22"/>
          <w:szCs w:val="22"/>
        </w:rPr>
        <w:tab/>
      </w:r>
      <w:r>
        <w:rPr>
          <w:rStyle w:val="Nagwek2Znak"/>
          <w:b w:val="false"/>
          <w:bCs w:val="false"/>
          <w:color w:val="000000"/>
          <w:sz w:val="22"/>
          <w:szCs w:val="22"/>
        </w:rPr>
        <w:t xml:space="preserve"> </w:t>
      </w:r>
      <w:r>
        <w:rPr>
          <w:rStyle w:val="Nagwek2Znak"/>
          <w:b w:val="false"/>
          <w:bCs w:val="false"/>
          <w:color w:val="000000"/>
          <w:sz w:val="22"/>
          <w:szCs w:val="22"/>
        </w:rPr>
        <w:t>6</w:t>
      </w:r>
      <w:r>
        <w:rPr>
          <w:rStyle w:val="Nagwek2Znak"/>
          <w:b w:val="false"/>
          <w:bCs w:val="false"/>
          <w:color w:val="000000"/>
          <w:sz w:val="22"/>
          <w:szCs w:val="22"/>
        </w:rPr>
        <w:t xml:space="preserve"> </w:t>
      </w:r>
      <w:r>
        <w:rPr>
          <w:rStyle w:val="Nagwek2Znak"/>
          <w:b w:val="false"/>
          <w:bCs w:val="false"/>
          <w:color w:val="000000"/>
          <w:sz w:val="22"/>
          <w:szCs w:val="22"/>
        </w:rPr>
        <w:t>lutego</w:t>
      </w:r>
      <w:r>
        <w:rPr>
          <w:rStyle w:val="Nagwek2Znak"/>
          <w:b w:val="false"/>
          <w:bCs w:val="false"/>
          <w:color w:val="000000"/>
          <w:sz w:val="22"/>
          <w:szCs w:val="22"/>
        </w:rPr>
        <w:t xml:space="preserve"> 2026</w:t>
      </w:r>
      <w:r>
        <w:rPr>
          <w:rStyle w:val="Nagwek2Znak"/>
          <w:b w:val="false"/>
          <w:color w:val="auto"/>
          <w:sz w:val="22"/>
          <w:szCs w:val="22"/>
        </w:rPr>
        <w:t xml:space="preserve"> roku, godz. 14:00</w:t>
      </w:r>
    </w:p>
    <w:p>
      <w:pPr>
        <w:pStyle w:val="Normal"/>
        <w:spacing w:before="240" w:after="240"/>
        <w:ind w:hanging="1247" w:left="1247"/>
        <w:jc w:val="both"/>
        <w:rPr/>
      </w:pPr>
      <w:r>
        <w:rPr>
          <w:rStyle w:val="Nagwek2Znak"/>
          <w:color w:val="C00000"/>
          <w:sz w:val="22"/>
          <w:szCs w:val="22"/>
        </w:rPr>
        <w:t>Miejsce</w:t>
      </w:r>
      <w:r>
        <w:rPr>
          <w:rStyle w:val="Nagwek2Znak"/>
          <w:b w:val="false"/>
          <w:color w:val="000000"/>
          <w:sz w:val="22"/>
          <w:szCs w:val="22"/>
        </w:rPr>
        <w:tab/>
        <w:t>76-200 Słupsk,</w:t>
      </w:r>
      <w:r>
        <w:rPr>
          <w:color w:val="000000"/>
          <w:sz w:val="22"/>
          <w:szCs w:val="22"/>
        </w:rPr>
        <w:t xml:space="preserve">ul. Szczecińska 59, pokój nr 020, </w:t>
      </w:r>
    </w:p>
    <w:p>
      <w:pPr>
        <w:pStyle w:val="Heading2"/>
        <w:spacing w:lineRule="auto" w:line="240"/>
        <w:rPr>
          <w:sz w:val="22"/>
          <w:szCs w:val="22"/>
        </w:rPr>
      </w:pPr>
      <w:r>
        <w:rPr>
          <w:bCs/>
          <w:color w:val="C00000"/>
          <w:sz w:val="22"/>
          <w:szCs w:val="22"/>
        </w:rPr>
        <w:t>Sprzedawana ruchomość</w:t>
      </w:r>
    </w:p>
    <w:tbl>
      <w:tblPr>
        <w:tblW w:w="9643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04"/>
        <w:gridCol w:w="2839"/>
        <w:gridCol w:w="1361"/>
        <w:gridCol w:w="1296"/>
        <w:gridCol w:w="1307"/>
        <w:gridCol w:w="2335"/>
      </w:tblGrid>
      <w:tr>
        <w:trPr>
          <w:trHeight w:val="954" w:hRule="atLeast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Określenie ruchomości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Wartość szacunkowa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Cena wywołania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/>
            </w:pPr>
            <w:r>
              <w:rPr>
                <w:rFonts w:cs="Arial"/>
                <w:b/>
                <w:bCs/>
                <w:sz w:val="22"/>
                <w:szCs w:val="22"/>
              </w:rPr>
              <w:t>Wadium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/>
            </w:pPr>
            <w:r>
              <w:rPr>
                <w:rFonts w:cs="Arial"/>
                <w:b/>
                <w:bCs/>
                <w:sz w:val="22"/>
                <w:szCs w:val="22"/>
              </w:rPr>
              <w:t>Uwagi</w:t>
            </w:r>
          </w:p>
        </w:tc>
      </w:tr>
      <w:tr>
        <w:trPr/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both"/>
              <w:rPr>
                <w:sz w:val="22"/>
                <w:szCs w:val="22"/>
              </w:rPr>
            </w:pPr>
            <w:r>
              <w:rPr>
                <w:rFonts w:cs="Arial"/>
                <w:b w:val="false"/>
                <w:bCs w:val="false"/>
                <w:color w:val="000000"/>
                <w:sz w:val="22"/>
                <w:szCs w:val="22"/>
              </w:rPr>
              <w:t xml:space="preserve">OPEL Zafira o nr rej.                      GS 86755, nr VIN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W0L0AHM7562025724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,</w:t>
            </w:r>
            <w:r>
              <w:rPr>
                <w:rFonts w:cs="Arial"/>
                <w:b w:val="false"/>
                <w:bCs w:val="false"/>
                <w:color w:val="000000"/>
                <w:sz w:val="22"/>
                <w:szCs w:val="22"/>
              </w:rPr>
              <w:t xml:space="preserve"> rok produkcji 2005,</w:t>
            </w:r>
            <w:r>
              <w:rPr>
                <w:rFonts w:cs="Arial"/>
                <w:b w:val="false"/>
                <w:bCs/>
                <w:color w:val="000000"/>
                <w:sz w:val="22"/>
                <w:szCs w:val="22"/>
              </w:rPr>
              <w:t xml:space="preserve"> data pierwszej rejestracji                  za granicą 3.10.2005 r., data pierwszej rejestracji w kraju 12.08.2016 r.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6.000 zł.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3.000</w:t>
            </w:r>
            <w:r>
              <w:rPr>
                <w:rFonts w:cs="Arial"/>
                <w:bCs/>
                <w:sz w:val="22"/>
                <w:szCs w:val="22"/>
              </w:rPr>
              <w:t xml:space="preserve"> zł.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/>
            </w:pPr>
            <w:r>
              <w:rPr>
                <w:rFonts w:cs="Arial"/>
                <w:bCs/>
                <w:sz w:val="22"/>
                <w:szCs w:val="22"/>
              </w:rPr>
              <w:t>brak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position w:val="0"/>
                <w:sz w:val="22"/>
                <w:sz w:val="22"/>
                <w:vertAlign w:val="baseline"/>
              </w:rPr>
            </w:pPr>
            <w:r>
              <w:rPr/>
              <w:t>Orzeczenie przepadku na rzecz Skarbu Państwa – wyrok Sądu Rejonowego w Słupsku II Wydziału Karnego             z 27 sierpnia 2025 roku, sygn. akt                      II K 568/ 25</w:t>
            </w:r>
          </w:p>
          <w:p>
            <w:pPr>
              <w:pStyle w:val="Normal"/>
              <w:spacing w:lineRule="auto" w:line="240" w:before="0" w:after="160"/>
              <w:jc w:val="left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  <w:p>
            <w:pPr>
              <w:pStyle w:val="Normal"/>
              <w:spacing w:lineRule="auto" w:line="240" w:before="0" w:after="160"/>
              <w:jc w:val="left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sz w:val="22"/>
              </w:rPr>
              <w:t>- rozbity przód auta</w:t>
            </w:r>
          </w:p>
          <w:p>
            <w:pPr>
              <w:pStyle w:val="Normal"/>
              <w:spacing w:lineRule="auto" w:line="240" w:before="0" w:after="160"/>
              <w:jc w:val="left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  <w:t>- zarysowania powłoki lakierniczej;</w:t>
            </w:r>
          </w:p>
          <w:p>
            <w:pPr>
              <w:pStyle w:val="Normal"/>
              <w:spacing w:lineRule="auto" w:line="240" w:before="0" w:after="160"/>
              <w:jc w:val="left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sz w:val="22"/>
              </w:rPr>
              <w:t>- wystrzelone poduszki powietrzne</w:t>
            </w:r>
          </w:p>
          <w:p>
            <w:pPr>
              <w:pStyle w:val="Normal"/>
              <w:spacing w:lineRule="auto" w:line="240" w:before="0" w:after="160"/>
              <w:jc w:val="left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sz w:val="22"/>
              </w:rPr>
              <w:t>- pojemność silnika 1910 cm</w:t>
            </w:r>
            <w:r>
              <w:rPr>
                <w:sz w:val="22"/>
                <w:vertAlign w:val="superscript"/>
              </w:rPr>
              <w:t>3</w:t>
            </w:r>
          </w:p>
          <w:p>
            <w:pPr>
              <w:pStyle w:val="Normal"/>
              <w:spacing w:lineRule="auto" w:line="240" w:before="0" w:after="160"/>
              <w:jc w:val="left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sz w:val="22"/>
              </w:rPr>
              <w:t>- rodzaj paliwa: olej napędowy;</w:t>
            </w:r>
          </w:p>
        </w:tc>
      </w:tr>
    </w:tbl>
    <w:p>
      <w:pPr>
        <w:pStyle w:val="Standard"/>
        <w:spacing w:lineRule="auto" w:line="240" w:before="120" w:after="0"/>
        <w:jc w:val="both"/>
        <w:rPr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t>Termin i miejsce oglądania ruchomości</w:t>
      </w:r>
    </w:p>
    <w:p>
      <w:pPr>
        <w:pStyle w:val="Standard"/>
        <w:spacing w:lineRule="auto" w:line="276" w:before="120" w:after="0"/>
        <w:jc w:val="both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Ruchomość można oglądać </w:t>
      </w:r>
      <w:r>
        <w:rPr>
          <w:bCs/>
          <w:color w:val="000000"/>
          <w:sz w:val="22"/>
          <w:szCs w:val="22"/>
        </w:rPr>
        <w:t>6 lutego</w:t>
      </w:r>
      <w:r>
        <w:rPr>
          <w:bCs/>
          <w:color w:val="000000"/>
          <w:sz w:val="22"/>
          <w:szCs w:val="22"/>
        </w:rPr>
        <w:t xml:space="preserve"> 2026 roku od godz. 13:00 do godz. 13:30 w</w:t>
      </w:r>
      <w:r>
        <w:rPr>
          <w:bCs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Urzędzie Skarbowym w Słupsku.</w:t>
      </w:r>
    </w:p>
    <w:p>
      <w:pPr>
        <w:pStyle w:val="Standard"/>
        <w:spacing w:lineRule="auto" w:line="240" w:before="12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40" w:before="120" w:after="0"/>
        <w:jc w:val="both"/>
        <w:rPr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t>Pozostałe informacje</w:t>
      </w:r>
    </w:p>
    <w:p>
      <w:pPr>
        <w:pStyle w:val="Standard"/>
        <w:spacing w:lineRule="auto" w:line="240" w:before="120" w:after="0"/>
        <w:jc w:val="both"/>
        <w:rPr>
          <w:sz w:val="22"/>
          <w:szCs w:val="22"/>
        </w:rPr>
      </w:pPr>
      <w:r>
        <w:rPr>
          <w:rFonts w:cs="Calibri" w:cstheme="minorHAnsi"/>
          <w:bCs/>
          <w:sz w:val="22"/>
          <w:szCs w:val="22"/>
        </w:rPr>
        <w:t>Wadium nie jest wymagane.</w:t>
      </w:r>
    </w:p>
    <w:p>
      <w:pPr>
        <w:pStyle w:val="Standard"/>
        <w:spacing w:lineRule="auto" w:line="276" w:before="120" w:after="0"/>
        <w:rPr/>
      </w:pPr>
      <w:r>
        <w:rPr>
          <w:rStyle w:val="Teksttreci"/>
          <w:rFonts w:cs="Calibri"/>
          <w:b w:val="false"/>
          <w:bCs w:val="false"/>
          <w:color w:val="000000"/>
          <w:spacing w:val="0"/>
          <w:w w:val="100"/>
          <w:sz w:val="22"/>
          <w:szCs w:val="22"/>
          <w:lang w:val="pl-PL" w:eastAsia="pl-PL"/>
        </w:rPr>
        <w:t>Sprzedaż nie jest opodatkowana podatkiem od towarów i usług.</w:t>
      </w:r>
    </w:p>
    <w:p>
      <w:pPr>
        <w:pStyle w:val="Teksttreci1"/>
        <w:shd w:val="clear" w:fill="auto"/>
        <w:spacing w:lineRule="exact" w:line="341" w:before="0" w:after="279"/>
        <w:ind w:hanging="0" w:left="0" w:right="260"/>
        <w:rPr/>
      </w:pPr>
      <w:r>
        <w:rPr>
          <w:rStyle w:val="Teksttreci"/>
          <w:rFonts w:cs="Calibri" w:ascii="Calibri" w:hAnsi="Calibri" w:asciiTheme="minorHAnsi" w:cstheme="minorHAnsi" w:hAnsiTheme="minorHAnsi"/>
          <w:bCs/>
          <w:color w:val="000000"/>
          <w:spacing w:val="0"/>
          <w:w w:val="100"/>
          <w:sz w:val="22"/>
          <w:szCs w:val="22"/>
          <w:lang w:val="pl-PL" w:eastAsia="pl-PL"/>
        </w:rPr>
        <w:t xml:space="preserve">Nabywca obowiązany jest niezwłocznie po udzieleniu mu przybicia uiścić przynajmniej cenę                         wywołania na rachunek organu egzekucyjnego nr 97 1010 0071 2223 2216 3200 0000                                     lub </w:t>
      </w:r>
      <w:r>
        <w:rPr>
          <w:rStyle w:val="Teksttreci"/>
          <w:rFonts w:cs="Calibri" w:ascii="Calibri" w:hAnsi="Calibri"/>
          <w:bCs/>
          <w:color w:val="000000"/>
          <w:spacing w:val="0"/>
          <w:w w:val="100"/>
          <w:sz w:val="22"/>
          <w:szCs w:val="22"/>
          <w:lang w:val="pl-PL" w:eastAsia="pl-PL"/>
        </w:rPr>
        <w:t xml:space="preserve"> pracownikowi organu egzekucyjnego</w:t>
      </w:r>
      <w:r>
        <w:rPr>
          <w:rStyle w:val="Teksttreci"/>
          <w:rFonts w:cs="Calibri" w:ascii="Calibri" w:hAnsi="Calibri" w:asciiTheme="minorHAnsi" w:cstheme="minorHAnsi" w:hAnsiTheme="minorHAnsi"/>
          <w:bCs/>
          <w:color w:val="000000"/>
          <w:spacing w:val="0"/>
          <w:w w:val="100"/>
          <w:sz w:val="22"/>
          <w:szCs w:val="22"/>
          <w:lang w:val="pl-PL" w:eastAsia="pl-PL"/>
        </w:rPr>
        <w:t xml:space="preserve">. Jeżeli ceny tej nabywca nie uiści, traci prawo wynikłe                   z przybicia i nie może uczestniczyć w licytacji tej samej ruchomości. Pozostałą do zapłaty część                        wylicytowanej kwoty należy wpłacić  niezwłocznie organowi  egzekucyjnemu na rachunek bankowy nr 97 1010 0071 2223 2216 3200 0000 bądź </w:t>
      </w:r>
      <w:r>
        <w:rPr>
          <w:rStyle w:val="Teksttreci"/>
          <w:rFonts w:cs="Calibri" w:ascii="Calibri" w:hAnsi="Calibri"/>
          <w:bCs/>
          <w:color w:val="000000"/>
          <w:spacing w:val="0"/>
          <w:w w:val="100"/>
          <w:sz w:val="22"/>
          <w:szCs w:val="22"/>
          <w:lang w:val="pl-PL" w:eastAsia="pl-PL"/>
        </w:rPr>
        <w:t xml:space="preserve"> pracownikowi organu egzekucyjnego,</w:t>
      </w:r>
      <w:r>
        <w:rPr>
          <w:rStyle w:val="Teksttreci"/>
          <w:rFonts w:cs="Calibri" w:ascii="Calibri" w:hAnsi="Calibri" w:asciiTheme="minorHAnsi" w:cstheme="minorHAnsi" w:hAnsiTheme="minorHAnsi"/>
          <w:bCs/>
          <w:color w:val="000000"/>
          <w:spacing w:val="0"/>
          <w:w w:val="100"/>
          <w:sz w:val="22"/>
          <w:szCs w:val="22"/>
          <w:lang w:val="pl-PL" w:eastAsia="pl-PL"/>
        </w:rPr>
        <w:t xml:space="preserve"> nie później niż w dniu następującym po dniu licytacji. </w:t>
      </w:r>
    </w:p>
    <w:p>
      <w:pPr>
        <w:pStyle w:val="NormalWeb"/>
        <w:spacing w:before="280" w:after="280"/>
        <w:rPr/>
      </w:pPr>
      <w:r>
        <w:rPr>
          <w:rStyle w:val="Teksttreci105pt"/>
          <w:rFonts w:ascii="Calibri" w:hAnsi="Calibri"/>
          <w:bCs/>
          <w:color w:val="000000"/>
          <w:spacing w:val="0"/>
          <w:w w:val="100"/>
          <w:sz w:val="22"/>
          <w:szCs w:val="22"/>
          <w:lang w:val="pl-PL" w:eastAsia="pl-PL"/>
        </w:rPr>
        <w:t xml:space="preserve">Szczegółowe informacje można uzyskać w Dziale  Egzekucji Administracyjnej Urzędu Skarbowego                                w Słupsku.   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284"/>
          <w:tab w:val="left" w:pos="270" w:leader="none"/>
        </w:tabs>
        <w:spacing w:lineRule="auto" w:line="240" w:before="0" w:after="0"/>
        <w:ind w:hanging="0" w:left="0" w:right="0"/>
        <w:jc w:val="both"/>
        <w:rPr>
          <w:rFonts w:ascii="Calibri" w:hAnsi="Calibri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TekstpismaKAS"/>
        <w:spacing w:before="0" w:after="0"/>
        <w:contextualSpacing/>
        <w:rPr>
          <w:sz w:val="22"/>
          <w:szCs w:val="22"/>
        </w:rPr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 xml:space="preserve">telefonicznie – pod numerem </w:t>
      </w:r>
      <w:r>
        <w:rPr>
          <w:bCs/>
          <w:sz w:val="22"/>
          <w:szCs w:val="22"/>
        </w:rPr>
        <w:t xml:space="preserve">telefonu: </w:t>
        <w:br/>
      </w:r>
      <w:r>
        <w:rPr>
          <w:bCs/>
          <w:color w:val="000000"/>
          <w:sz w:val="22"/>
          <w:szCs w:val="22"/>
        </w:rPr>
        <w:t>598447383</w:t>
      </w:r>
    </w:p>
    <w:p>
      <w:pPr>
        <w:pStyle w:val="TekstpismaKAS"/>
        <w:rPr>
          <w:rFonts w:ascii="Calibri" w:hAnsi="Calibri"/>
          <w:color w:themeColor="accent1" w:themeShade="bf" w:val="2F5496"/>
          <w:sz w:val="22"/>
          <w:szCs w:val="22"/>
          <w:lang w:eastAsia="pl-PL"/>
        </w:rPr>
      </w:pPr>
      <w:r>
        <w:rPr>
          <w:color w:themeColor="accent1" w:themeShade="bf" w:val="2F5496"/>
          <w:sz w:val="22"/>
          <w:szCs w:val="22"/>
          <w:lang w:eastAsia="pl-PL"/>
        </w:rPr>
      </w:r>
    </w:p>
    <w:p>
      <w:pPr>
        <w:pStyle w:val="TekstpismaKAS"/>
        <w:rPr>
          <w:sz w:val="22"/>
          <w:szCs w:val="22"/>
        </w:rPr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elektronicznie – napisz na adres:</w:t>
      </w:r>
    </w:p>
    <w:p>
      <w:pPr>
        <w:pStyle w:val="TekstpismaKAS"/>
        <w:rPr>
          <w:sz w:val="22"/>
          <w:szCs w:val="22"/>
        </w:rPr>
      </w:pPr>
      <w:r>
        <w:rPr>
          <w:color w:val="000000"/>
          <w:sz w:val="22"/>
          <w:szCs w:val="22"/>
        </w:rPr>
        <w:t>olga.karwacka@mf.gov.pl</w:t>
      </w:r>
    </w:p>
    <w:p>
      <w:pPr>
        <w:pStyle w:val="Standard"/>
        <w:spacing w:lineRule="auto" w:line="240" w:before="120" w:after="0"/>
        <w:rPr/>
      </w:pPr>
      <w:r>
        <w:rPr>
          <w:bCs/>
          <w:sz w:val="22"/>
          <w:szCs w:val="22"/>
        </w:rPr>
        <w:t>oraz na stronie:</w:t>
      </w:r>
      <w:r>
        <w:rPr>
          <w:sz w:val="22"/>
          <w:szCs w:val="22"/>
        </w:rPr>
        <w:t xml:space="preserve"> </w:t>
      </w:r>
      <w:hyperlink r:id="rId5">
        <w:r>
          <w:rPr>
            <w:rStyle w:val="Style7"/>
            <w:rFonts w:cs="Calibri"/>
            <w:bCs/>
            <w:color w:val="0563C1"/>
            <w:sz w:val="22"/>
            <w:szCs w:val="22"/>
            <w:u w:val="single"/>
          </w:rPr>
          <w:t>https://www.pomorskie.kas.gov.pl</w:t>
        </w:r>
      </w:hyperlink>
      <w:r>
        <w:rPr>
          <w:bCs/>
          <w:sz w:val="22"/>
          <w:szCs w:val="22"/>
        </w:rPr>
        <w:t>,</w:t>
        <w:br/>
        <w:t>w zakładce ogłoszenia - obwieszczenia o licytacji.</w:t>
      </w:r>
    </w:p>
    <w:p>
      <w:pPr>
        <w:pStyle w:val="rdtytuKAS"/>
        <w:rPr>
          <w:sz w:val="22"/>
          <w:szCs w:val="22"/>
        </w:rPr>
      </w:pPr>
      <w:r>
        <w:rPr>
          <w:color w:val="C00000"/>
          <w:sz w:val="22"/>
          <w:szCs w:val="22"/>
          <w:lang w:eastAsia="pl-PL"/>
        </w:rPr>
        <w:t xml:space="preserve">Przepisy prawa: </w:t>
      </w:r>
    </w:p>
    <w:p>
      <w:pPr>
        <w:pStyle w:val="TekstpismaKAS"/>
        <w:rPr>
          <w:sz w:val="22"/>
          <w:szCs w:val="22"/>
        </w:rPr>
      </w:pPr>
      <w:r>
        <w:rPr>
          <w:sz w:val="22"/>
          <w:szCs w:val="22"/>
          <w:lang w:eastAsia="pl-PL"/>
        </w:rPr>
        <w:t>Art. 105 – art. 105a, art. 105c - 107 ustawy z dnia 17 czerwca 1966 r. o postępowaniu egzekucyjnym w administracji (Dz.U. z 2025 r. poz. 132, z późn. zm.).</w:t>
      </w:r>
    </w:p>
    <w:p>
      <w:pPr>
        <w:pStyle w:val="TekstpismaKAS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kstpismaKAS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eastAsia="pl-PL"/>
        </w:rPr>
        <w:t xml:space="preserve"> </w:t>
      </w:r>
      <w:r>
        <w:rPr>
          <w:b/>
          <w:bCs/>
          <w:sz w:val="22"/>
          <w:szCs w:val="22"/>
          <w:lang w:eastAsia="pl-PL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</w:t>
      </w:r>
      <w:r>
        <w:rPr>
          <w:rFonts w:eastAsia="Times New Roman;Times New Roman PS" w:cs="Times New Roman;Times New Roman PS"/>
          <w:b/>
          <w:bCs/>
          <w:color w:val="000000"/>
          <w:sz w:val="20"/>
          <w:szCs w:val="20"/>
          <w:lang w:eastAsia="pl-PL"/>
        </w:rPr>
        <w:t xml:space="preserve">Z up. Naczelnika Urzędu Skarbowego w Słupsku </w:t>
      </w:r>
    </w:p>
    <w:p>
      <w:pPr>
        <w:pStyle w:val="Default"/>
        <w:spacing w:lineRule="auto" w:line="240" w:before="0" w:after="0"/>
        <w:rPr/>
      </w:pPr>
      <w:r>
        <w:rPr>
          <w:rFonts w:eastAsia="Times New Roman;Times New Roman PS" w:cs="Times New Roman;Times New Roman PS" w:ascii="Calibri" w:hAnsi="Calibri"/>
          <w:b/>
          <w:bCs/>
          <w:i/>
          <w:iCs/>
          <w:strike w:val="false"/>
          <w:dstrike w:val="false"/>
          <w:color w:val="000000"/>
          <w:sz w:val="20"/>
          <w:szCs w:val="20"/>
          <w:u w:val="none"/>
        </w:rPr>
        <w:tab/>
        <w:tab/>
        <w:tab/>
        <w:tab/>
        <w:tab/>
        <w:tab/>
        <w:tab/>
        <w:tab/>
        <w:t xml:space="preserve">              </w:t>
        <w:tab/>
        <w:tab/>
        <w:tab/>
        <w:tab/>
        <w:tab/>
        <w:tab/>
        <w:tab/>
        <w:tab/>
        <w:t xml:space="preserve">                    Piotr Giers </w:t>
      </w:r>
    </w:p>
    <w:p>
      <w:pPr>
        <w:pStyle w:val="Default"/>
        <w:spacing w:lineRule="auto" w:line="240" w:before="0" w:after="0"/>
        <w:jc w:val="center"/>
        <w:rPr/>
      </w:pPr>
      <w:r>
        <w:rPr>
          <w:rFonts w:eastAsia="Times New Roman;Times New Roman PS" w:cs="Times New Roman;Times New Roman PS" w:ascii="Calibri" w:hAnsi="Calibri"/>
          <w:b/>
          <w:bCs/>
          <w:i w:val="false"/>
          <w:iCs w:val="false"/>
          <w:strike w:val="false"/>
          <w:dstrike w:val="false"/>
          <w:color w:val="000000"/>
          <w:sz w:val="20"/>
          <w:szCs w:val="20"/>
          <w:u w:val="none"/>
        </w:rPr>
        <w:tab/>
        <w:tab/>
        <w:tab/>
        <w:tab/>
        <w:tab/>
        <w:tab/>
        <w:t xml:space="preserve">                                                 Kierownik Działu </w:t>
      </w:r>
    </w:p>
    <w:p>
      <w:pPr>
        <w:pStyle w:val="Normal"/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eastAsia="Times New Roman;Times New Roman PS" w:cs="Times New Roman;Times New Roman PS"/>
          <w:b/>
          <w:bCs/>
          <w:i w:val="false"/>
          <w:iCs w:val="false"/>
          <w:strike w:val="false"/>
          <w:dstrike w:val="false"/>
          <w:color w:val="000000"/>
          <w:sz w:val="20"/>
          <w:szCs w:val="20"/>
          <w:u w:val="none"/>
          <w:lang w:eastAsia="pl-PL"/>
        </w:rPr>
        <w:tab/>
        <w:tab/>
        <w:tab/>
        <w:tab/>
        <w:tab/>
        <w:tab/>
        <w:tab/>
        <w:tab/>
        <w:tab/>
        <w:tab/>
        <w:tab/>
        <w:tab/>
        <w:t xml:space="preserve">                         </w:t>
      </w:r>
      <w:r>
        <w:rPr>
          <w:rFonts w:eastAsia="Times New Roman;Times New Roman PS" w:cs="Times New Roman;Times New Roman PS"/>
          <w:b/>
          <w:bCs/>
          <w:i/>
          <w:iCs/>
          <w:strike w:val="false"/>
          <w:dstrike w:val="false"/>
          <w:color w:val="000000"/>
          <w:sz w:val="20"/>
          <w:szCs w:val="20"/>
          <w:u w:val="none"/>
          <w:lang w:eastAsia="pl-PL"/>
        </w:rPr>
        <w:t xml:space="preserve">Podpisano </w:t>
      </w:r>
      <w:r>
        <w:rPr>
          <w:rFonts w:eastAsia="Times New Roman;Times New Roman PS" w:cs="Calibri"/>
          <w:b/>
          <w:bCs/>
          <w:i/>
          <w:iCs/>
          <w:strike w:val="false"/>
          <w:dstrike w:val="false"/>
          <w:color w:val="000000"/>
          <w:sz w:val="20"/>
          <w:szCs w:val="20"/>
          <w:u w:val="none"/>
          <w:lang w:val="en-US" w:eastAsia="pl-PL" w:bidi="pl-PL"/>
        </w:rPr>
        <w:t xml:space="preserve">kwalifikowanym podpisem elektronicznym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imes New Roman">
    <w:altName w:val="Times New Roman PS"/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0209B819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pt;width:85.05pt;height:24.1pt;mso-wrap-style:square;v-text-anchor:top;mso-position-vertical:top" wp14:anchorId="0209B819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70D1727D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6.7pt;height:24.1pt;mso-wrap-style:square;v-text-anchor:top;mso-position-vertical:top" wp14:anchorId="70D1727D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</w:rPr>
      <w:t xml:space="preserve">e-mail: us.slupsk@mf.gov.pl </w:t>
    </w:r>
    <w:r>
      <w:rPr>
        <w:rFonts w:cs="Calibri" w:cstheme="minorHAnsi"/>
      </w:rPr>
      <w:t>●</w:t>
    </w:r>
    <w:r>
      <w:rPr>
        <w:rFonts w:cs="Calibri"/>
      </w:rPr>
      <w:t xml:space="preserve"> ePUAP 1937qasavz/SkrytkaESP </w:t>
    </w:r>
  </w:p>
  <w:p>
    <w:pPr>
      <w:pStyle w:val="StopkaKAS"/>
      <w:rPr/>
    </w:pPr>
    <w:r>
      <w:rPr>
        <w:rFonts w:cs="Calibri" w:cstheme="minorHAnsi"/>
      </w:rPr>
      <w:t>●</w:t>
    </w:r>
    <w:r>
      <w:rPr>
        <w:rFonts w:cs="Calibri"/>
      </w:rPr>
      <w:t xml:space="preserve"> </w:t>
    </w:r>
    <w:hyperlink r:id="rId2">
      <w:r>
        <w:rPr>
          <w:rStyle w:val="Style7"/>
          <w:rFonts w:cs="Calibri"/>
          <w:color w:val="000000"/>
          <w:u w:val="single"/>
        </w:rPr>
        <w:t>https://www.pomorskie.kas.gov.pl</w:t>
      </w:r>
    </w:hyperlink>
    <w:r>
      <w:rPr>
        <w:rFonts w:cs="Calibri"/>
        <w:color w:val="000000"/>
      </w:rPr>
      <w:t xml:space="preserve"> /urzad-</w:t>
    </w:r>
    <w:r>
      <w:rPr>
        <w:rFonts w:cs="Calibri"/>
      </w:rPr>
      <w:t>skarbowy-w-slupsku</w:t>
    </w:r>
  </w:p>
  <w:p>
    <w:pPr>
      <w:pStyle w:val="StopkaKAS"/>
      <w:rPr>
        <w:rFonts w:cs="Calibri"/>
      </w:rPr>
    </w:pPr>
    <w:r>
      <w:rPr>
        <w:rFonts w:cs="Calibri"/>
      </w:rPr>
      <w:t>Urząd Skarbowy w Słupsku, ul. Szczecińska 59, 76-200 Słupsk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11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mirrorMargins/>
  <w:defaultTabStop w:val="284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ipercze1" w:customStyle="1">
    <w:name w:val="Hiperłącze1"/>
    <w:basedOn w:val="DefaultParagraphFont"/>
    <w:qFormat/>
    <w:rsid w:val="00d01abb"/>
    <w:rPr>
      <w:color w:val="0563C1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link w:val="NoSpacing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character" w:styleId="FollowedHyperlink">
    <w:name w:val="FollowedHyperlink"/>
    <w:rPr>
      <w:color w:val="800000"/>
      <w:u w:val="single"/>
    </w:rPr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Znakinumeracji">
    <w:name w:val="Znaki numeracji"/>
    <w:qFormat/>
    <w:rPr/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Teksttreci">
    <w:name w:val="Tekst treści_"/>
    <w:basedOn w:val="DefaultParagraphFont"/>
    <w:qFormat/>
    <w:rPr>
      <w:rFonts w:ascii="Arial" w:hAnsi="Arial"/>
      <w:b w:val="false"/>
      <w:i w:val="false"/>
      <w:caps w:val="false"/>
      <w:smallCaps w:val="false"/>
      <w:strike w:val="false"/>
      <w:dstrike w:val="false"/>
      <w:color w:val="000000"/>
      <w:sz w:val="20"/>
      <w:u w:val="none"/>
    </w:rPr>
  </w:style>
  <w:style w:type="character" w:styleId="Teksttreci105pt">
    <w:name w:val="Tekst treści + 10.5 pt"/>
    <w:basedOn w:val="Teksttreci"/>
    <w:qFormat/>
    <w:rPr>
      <w:rFonts w:ascii="Arial" w:hAnsi="Arial"/>
      <w:b w:val="false"/>
      <w:i w:val="false"/>
      <w:caps w:val="false"/>
      <w:smallCaps w:val="false"/>
      <w:strike w:val="false"/>
      <w:dstrike w:val="false"/>
      <w:color w:val="000000"/>
      <w:sz w:val="21"/>
      <w:u w:val="none"/>
    </w:rPr>
  </w:style>
  <w:style w:type="character" w:styleId="Znakinumeracjiuser">
    <w:name w:val="Znaki numeracji (user)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Mangal"/>
    </w:rPr>
  </w:style>
  <w:style w:type="paragraph" w:styleId="Gwkaistopka" w:customStyle="1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numPr>
        <w:ilvl w:val="0"/>
        <w:numId w:val="1"/>
      </w:numPr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numPr>
        <w:ilvl w:val="0"/>
        <w:numId w:val="2"/>
      </w:num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463027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Teksttreci1">
    <w:name w:val="Tekst treści"/>
    <w:basedOn w:val="Normal"/>
    <w:qFormat/>
    <w:pPr>
      <w:shd w:fill="FFFFFF"/>
      <w:spacing w:lineRule="atLeast" w:line="0" w:before="240" w:after="240"/>
      <w:ind w:hanging="760"/>
      <w:textAlignment w:val="auto"/>
    </w:pPr>
    <w:rPr>
      <w:rFonts w:ascii="Arial" w:hAnsi="Arial"/>
      <w:b w:val="false"/>
      <w:i w:val="false"/>
      <w:caps w:val="false"/>
      <w:smallCaps w:val="false"/>
      <w:strike w:val="false"/>
      <w:dstrike w:val="false"/>
      <w:sz w:val="20"/>
      <w:u w:val="none"/>
    </w:rPr>
  </w:style>
  <w:style w:type="paragraph" w:styleId="Zawartoramkiuser">
    <w:name w:val="Zawartość ramki (user)"/>
    <w:basedOn w:val="Normal"/>
    <w:qFormat/>
    <w:pPr/>
    <w:rPr/>
  </w:style>
  <w:style w:type="paragraph" w:styleId="Default">
    <w:name w:val="Default"/>
    <w:basedOn w:val="Normal"/>
    <w:qFormat/>
    <w:pPr>
      <w:jc w:val="left"/>
    </w:pPr>
    <w:rPr>
      <w:rFonts w:ascii="Times New Roman;Times New Roman PS" w:hAnsi="Times New Roman;Times New Roman PS" w:eastAsia="Times New Roman;Times New Roman PS" w:cs="Times New Roman;Times New Roman PS"/>
      <w:color w:val="000000"/>
      <w:sz w:val="24"/>
      <w:szCs w:val="24"/>
    </w:rPr>
  </w:style>
  <w:style w:type="numbering" w:styleId="Bezlisty" w:default="1">
    <w:name w:val="Bez listy"/>
    <w:uiPriority w:val="99"/>
    <w:semiHidden/>
    <w:unhideWhenUsed/>
    <w:qFormat/>
  </w:style>
  <w:style w:type="numbering" w:styleId="Bezlistyuser">
    <w:name w:val="Bez listy (user)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pomorskie.kas.gov.pl/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<Relationship Id="rId2" Type="http://schemas.openxmlformats.org/officeDocument/2006/relationships/hyperlink" Target="https://www.pomorskie.kas.gov.pl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Application>LibreOffice/25.2.5.2$Windows_X86_64 LibreOffice_project/03d19516eb2e1dd5d4ccd751a0d6f35f35e08022</Application>
  <AppVersion>15.0000</AppVersion>
  <Pages>2</Pages>
  <Words>359</Words>
  <Characters>2223</Characters>
  <CharactersWithSpaces>3030</CharactersWithSpaces>
  <Paragraphs>50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2024-08-08T05:50:00Z</dcterms:created>
  <dc:creator>Pietrucha Monika;Staszak Anetta;Urbala Andrzej</dc:creator>
  <dc:description/>
  <dc:language>pl-PL</dc:language>
  <cp:lastModifiedBy/>
  <cp:lastPrinted>2026-01-30T14:00:36Z</cp:lastPrinted>
  <dcterms:modified xsi:type="dcterms:W3CDTF">2026-01-30T14:00:46Z</dcterms:modified>
  <cp:revision>51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UxC4dwLulzfINJ8nQH+xvX5LNGipWa4BRSZhPgxsCvlfKoU0fxnIuCmhIX5qM2WnOcpIefOe4vJUA2Zr54lXSA==</vt:lpwstr>
  </property>
  <property fmtid="{D5CDD505-2E9C-101B-9397-08002B2CF9AE}" pid="25" name="MFClassifiedBySID">
    <vt:lpwstr>UxC4dwLulzfINJ8nQH+xvX5LNGipWa4BRSZhPgxsCvm42mrIC/DSDv0ggS+FjUN/2v1BBotkLlY5aAiEhoi6uX0qY6P02zQudLWe4cOsg52sMoeIqfw4M6Dzw7flOT2E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