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sz w:val="22"/>
          <w:szCs w:val="22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2"/>
          <w:szCs w:val="22"/>
        </w:rPr>
        <w:t>Naczelnik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w SŁUPSKU</w:t>
      </w:r>
    </w:p>
    <w:p>
      <w:pPr>
        <w:pStyle w:val="Normal"/>
        <w:spacing w:before="0" w:after="0"/>
        <w:contextualSpacing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contextualSpacing/>
        <w:jc w:val="right"/>
        <w:rPr>
          <w:sz w:val="22"/>
          <w:szCs w:val="22"/>
        </w:rPr>
      </w:pPr>
      <w:r>
        <mc:AlternateContent>
          <mc:Choice Requires="wps">
            <w:drawing>
              <wp:anchor behindDoc="0" distT="0" distB="62230" distL="121920" distR="79375" simplePos="0" locked="0" layoutInCell="0" allowOverlap="0" relativeHeight="8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0395753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  <w:sz w:val="22"/>
          <w:szCs w:val="22"/>
        </w:rPr>
        <w:t>Słupsk, 2 lutego 2026 roku</w:t>
      </w:r>
    </w:p>
    <w:p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>OBWIESZCZENIE O PIERWSZEJ LICYTACJI RUCHOMOŚCI</w:t>
      </w:r>
    </w:p>
    <w:p>
      <w:pPr>
        <w:pStyle w:val="TytupismaKAS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TytupismaKAS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Szanowni Państwo,</w:t>
      </w:r>
    </w:p>
    <w:p>
      <w:pPr>
        <w:pStyle w:val="Standard"/>
        <w:spacing w:lineRule="auto" w:line="276" w:before="288" w:after="0"/>
        <w:rPr>
          <w:sz w:val="22"/>
          <w:szCs w:val="22"/>
        </w:rPr>
      </w:pPr>
      <w:r>
        <w:rPr>
          <w:bCs/>
          <w:sz w:val="22"/>
          <w:szCs w:val="22"/>
        </w:rPr>
        <w:t>informuję o sprzedaży w drodze licytacji publicznej ruchomości należącej do Skarbu Państwa na podstawie prawomocnego wyroku sądowego.</w:t>
      </w:r>
    </w:p>
    <w:p>
      <w:pPr>
        <w:pStyle w:val="Normal"/>
        <w:spacing w:before="240" w:after="240"/>
        <w:ind w:hanging="1191" w:left="1191"/>
        <w:rPr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10 lutego</w:t>
      </w:r>
      <w:r>
        <w:rPr>
          <w:rStyle w:val="Nagwek2Znak"/>
          <w:b w:val="false"/>
          <w:color w:val="auto"/>
          <w:sz w:val="22"/>
          <w:szCs w:val="22"/>
        </w:rPr>
        <w:t xml:space="preserve"> 2026 roku, godz. 11:00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color w:val="C00000"/>
          <w:sz w:val="22"/>
          <w:szCs w:val="22"/>
        </w:rPr>
        <w:t>Miejsce</w:t>
      </w:r>
      <w:r>
        <w:rPr>
          <w:rStyle w:val="Nagwek2Znak"/>
          <w:b w:val="false"/>
          <w:color w:val="000000"/>
          <w:sz w:val="22"/>
          <w:szCs w:val="22"/>
        </w:rPr>
        <w:tab/>
        <w:t>76-200 Słupsk,</w:t>
      </w:r>
      <w:r>
        <w:rPr>
          <w:color w:val="000000"/>
          <w:sz w:val="22"/>
          <w:szCs w:val="22"/>
        </w:rPr>
        <w:t xml:space="preserve">ul. Szczecińska 59, pokój nr 020, </w:t>
      </w:r>
    </w:p>
    <w:p>
      <w:pPr>
        <w:pStyle w:val="Heading2"/>
        <w:spacing w:lineRule="auto" w:line="240"/>
        <w:rPr>
          <w:sz w:val="22"/>
          <w:szCs w:val="22"/>
        </w:rPr>
      </w:pPr>
      <w:r>
        <w:rPr>
          <w:bCs/>
          <w:color w:val="C00000"/>
          <w:sz w:val="22"/>
          <w:szCs w:val="22"/>
        </w:rPr>
        <w:t>Sprzedawana ruchomość</w:t>
      </w:r>
    </w:p>
    <w:tbl>
      <w:tblPr>
        <w:tblW w:w="964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"/>
        <w:gridCol w:w="2839"/>
        <w:gridCol w:w="1361"/>
        <w:gridCol w:w="1296"/>
        <w:gridCol w:w="1307"/>
        <w:gridCol w:w="2335"/>
      </w:tblGrid>
      <w:tr>
        <w:trPr>
          <w:trHeight w:val="954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AUDI A4 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>Kombi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o nr rej.                         GS 0520E, nr  VIN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WAUZZZ8E27A065984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2006,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                 za granicą 9.10.2006 r., data pierwszej rejestracji w kraju 14.10.2019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9.000 zł.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6.750 zł.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Słupsku II Wydziału Karnego             z 31 lipca 2025 roku, sygn. akt II K 941/25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liczne wgniecenia karoserii;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1968 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position w:val="0"/>
                <w:sz w:val="22"/>
                <w:sz w:val="22"/>
                <w:vertAlign w:val="baseline"/>
              </w:rPr>
              <w:t>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rodzaj paliwa:                      olej napędowy;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uszkodzony tylny zderzak</w:t>
            </w:r>
            <w:r>
              <w:rPr>
                <w:position w:val="0"/>
                <w:sz w:val="22"/>
                <w:sz w:val="22"/>
                <w:vertAlign w:val="baseline"/>
              </w:rPr>
              <w:t>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uszkodzona stacyjka;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uszkodzona maska</w:t>
            </w:r>
            <w:r>
              <w:rPr>
                <w:position w:val="0"/>
                <w:sz w:val="22"/>
                <w:sz w:val="22"/>
                <w:vertAlign w:val="baseline"/>
              </w:rPr>
              <w:t>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u</w:t>
            </w:r>
            <w:r>
              <w:rPr>
                <w:position w:val="0"/>
                <w:sz w:val="22"/>
                <w:sz w:val="22"/>
                <w:vertAlign w:val="baseline"/>
              </w:rPr>
              <w:t>szkodzony zamek przedni z lewej strony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Ruchomości można oglądać 10 lutego 2026 roku od godz. 10:00 do godz. 10:30 w</w:t>
      </w:r>
      <w:r>
        <w:rPr>
          <w:bCs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Urzędzie Skarbowym w Słupsku.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Pozostałe informacje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Wadium nie jest wymagane.</w:t>
      </w:r>
    </w:p>
    <w:p>
      <w:pPr>
        <w:pStyle w:val="Standard"/>
        <w:spacing w:lineRule="auto" w:line="276" w:before="120" w:after="0"/>
        <w:rPr/>
      </w:pPr>
      <w:r>
        <w:rPr>
          <w:rStyle w:val="Teksttreci"/>
          <w:rFonts w:cs="Calibri"/>
          <w:b w:val="false"/>
          <w:bCs w:val="false"/>
          <w:color w:val="000000"/>
          <w:spacing w:val="0"/>
          <w:w w:val="100"/>
          <w:sz w:val="22"/>
          <w:szCs w:val="22"/>
          <w:lang w:val="pl-PL" w:eastAsia="pl-PL"/>
        </w:rPr>
        <w:t>Sprzedaż nie jest opodatkowana podatkiem od towarów i usług.</w:t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/>
      </w:pP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Nabywca obowiązany jest niezwłocznie po udzieleniu mu przybicia uiścić przynajmniej cenę                         wywołania na rachunek organu egzekucyjnego nr 97 1010 0071 2223 2216 3200 0000                                     lub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. Jeżeli ceny tej nabywca nie uiści, traci prawo wynikłe                   z przybicia i nie może uczestniczyć w licytacji tej samej ruchomości. Pozostałą do zapłaty część                        wylicytowanej kwoty należy wpłacić  niezwłocznie organowi  egzekucyjnemu na rachunek bankowy nr 97 1010 0071 2223 2216 3200 0000 bądź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egzekucyjnego,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nie później niż w dniu następującym po dniu licytacji. </w:t>
      </w:r>
    </w:p>
    <w:p>
      <w:pPr>
        <w:pStyle w:val="NormalWeb"/>
        <w:spacing w:before="280" w:after="280"/>
        <w:rPr>
          <w:rFonts w:ascii="Calibri" w:hAnsi="Calibri"/>
        </w:rPr>
      </w:pPr>
      <w:r>
        <w:rPr>
          <w:rStyle w:val="Teksttreci105pt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Szczegółowe informacje można uzyskać w Dziale  Egzekucji Administracyjnej Urzędu Skarbowego                                w Słupsku.   </w:t>
      </w:r>
      <w:r>
        <w:rPr>
          <w:rFonts w:ascii="Calibri" w:hAnsi="Calibri"/>
          <w:bCs/>
          <w:color w:val="000000"/>
          <w:sz w:val="20"/>
          <w:szCs w:val="20"/>
        </w:rPr>
        <w:t xml:space="preserve">                            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284"/>
          <w:tab w:val="left" w:pos="270" w:leader="none"/>
        </w:tabs>
        <w:spacing w:lineRule="auto" w:line="240" w:before="0" w:after="0"/>
        <w:ind w:hanging="0" w:left="0" w:righ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kstpismaKAS"/>
        <w:spacing w:before="0" w:after="0"/>
        <w:contextualSpacing/>
        <w:rPr>
          <w:sz w:val="22"/>
          <w:szCs w:val="22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  <w:br/>
      </w:r>
      <w:r>
        <w:rPr>
          <w:bCs/>
          <w:color w:val="000000"/>
          <w:sz w:val="22"/>
          <w:szCs w:val="22"/>
        </w:rPr>
        <w:t>598447383</w:t>
      </w:r>
    </w:p>
    <w:p>
      <w:pPr>
        <w:pStyle w:val="TekstpismaKAS"/>
        <w:rPr>
          <w:rFonts w:ascii="Calibri" w:hAnsi="Calibri"/>
          <w:color w:themeColor="accent1" w:themeShade="bf" w:val="2F5496"/>
          <w:sz w:val="22"/>
          <w:szCs w:val="22"/>
          <w:lang w:eastAsia="pl-PL"/>
        </w:rPr>
      </w:pPr>
      <w:r>
        <w:rPr>
          <w:color w:themeColor="accent1" w:themeShade="bf" w:val="2F5496"/>
          <w:sz w:val="22"/>
          <w:szCs w:val="22"/>
          <w:lang w:eastAsia="pl-PL"/>
        </w:rPr>
      </w:r>
    </w:p>
    <w:p>
      <w:pPr>
        <w:pStyle w:val="TekstpismaKAS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2"/>
          <w:szCs w:val="22"/>
        </w:rPr>
        <w:t>oraz na stronie:</w:t>
      </w:r>
      <w:r>
        <w:rPr>
          <w:sz w:val="22"/>
          <w:szCs w:val="22"/>
        </w:rPr>
        <w:t xml:space="preserve"> </w:t>
      </w:r>
      <w:hyperlink r:id="rId5">
        <w:r>
          <w:rPr>
            <w:rStyle w:val="Style7"/>
            <w:rFonts w:cs="Calibri"/>
            <w:bCs/>
            <w:color w:val="0563C1"/>
            <w:sz w:val="22"/>
            <w:szCs w:val="22"/>
            <w:u w:val="single"/>
          </w:rPr>
          <w:t>https://www.pomorskie.kas.gov.pl</w:t>
        </w:r>
      </w:hyperlink>
      <w:r>
        <w:rPr>
          <w:bCs/>
          <w:sz w:val="22"/>
          <w:szCs w:val="22"/>
        </w:rPr>
        <w:t>,</w:t>
        <w:br/>
        <w:t>w zakładce ogłoszenia - obwieszczenia o licytacji.</w:t>
      </w:r>
    </w:p>
    <w:p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administracji (Dz.U. z 2025 r. poz. 132, z późn. zm.).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/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ab/>
        <w:t xml:space="preserve">                    Piotr Giers </w:t>
      </w:r>
    </w:p>
    <w:p>
      <w:pPr>
        <w:pStyle w:val="Default"/>
        <w:spacing w:lineRule="auto" w:line="240" w:before="0" w:after="0"/>
        <w:jc w:val="center"/>
        <w:rPr/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 xml:space="preserve">                                                 Kierownik Działu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eastAsia="pl-PL"/>
        </w:rPr>
        <w:t xml:space="preserve">Podpisano </w:t>
      </w:r>
      <w:r>
        <w:rPr>
          <w:rFonts w:eastAsia="Times New Roman;Times New Roman PS" w:cs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  <w:t xml:space="preserve">kwalifikowanym podpisem elektronicznym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05pt;height:24.1pt;mso-wrap-style:square;v-text-anchor:top;mso-position-vertical:top" wp14:anchorId="0209B819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70D1727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rPr/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>
        <w:rFonts w:cs="Calibri"/>
      </w:rPr>
      <w:t>Urząd Skarbowy w Słupsku, ul. Szczecińska 59, 76-200 Słupsk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Znakinumeracjiuser">
    <w:name w:val="Znaki numeracji (user)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0"/>
      <w:u w:val="none"/>
    </w:rPr>
  </w:style>
  <w:style w:type="character" w:styleId="Teksttreci105pt">
    <w:name w:val="Tekst treści + 10.5 pt"/>
    <w:basedOn w:val="Teksttreci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1"/>
      <w:u w:val="non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6302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treci1">
    <w:name w:val="Tekst treści"/>
    <w:basedOn w:val="Normal"/>
    <w:qFormat/>
    <w:pPr>
      <w:shd w:fill="FFFFFF"/>
      <w:spacing w:lineRule="atLeast" w:line="0" w:before="240" w:after="240"/>
      <w:ind w:hanging="760"/>
      <w:textAlignment w:val="auto"/>
    </w:pPr>
    <w:rPr>
      <w:rFonts w:ascii="Arial" w:hAnsi="Arial"/>
      <w:b w:val="false"/>
      <w:i w:val="false"/>
      <w:caps w:val="false"/>
      <w:smallCaps w:val="false"/>
      <w:strike w:val="false"/>
      <w:dstrike w:val="false"/>
      <w:sz w:val="20"/>
      <w:u w:val="none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LibreOffice/25.2.5.2$Windows_X86_64 LibreOffice_project/03d19516eb2e1dd5d4ccd751a0d6f35f35e08022</Application>
  <AppVersion>15.0000</AppVersion>
  <Pages>2</Pages>
  <Words>372</Words>
  <Characters>2300</Characters>
  <CharactersWithSpaces>3158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2024-08-08T05:50:00Z</dcterms:created>
  <dc:creator>Pietrucha Monika;Staszak Anetta;Urbala Andrzej</dc:creator>
  <dc:description/>
  <dc:language>pl-PL</dc:language>
  <cp:lastModifiedBy/>
  <cp:lastPrinted>2026-02-02T11:52:51Z</cp:lastPrinted>
  <dcterms:modified xsi:type="dcterms:W3CDTF">2026-02-02T12:34:34Z</dcterms:modified>
  <cp:revision>52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