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5090" distB="7620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lutego</w:t>
      </w:r>
      <w:r>
        <w:rPr>
          <w:rFonts w:ascii="Lato" w:hAnsi="Lato"/>
          <w:i w:val="false"/>
          <w:iCs w:val="false"/>
          <w:color w:val="000000"/>
        </w:rPr>
        <w:t xml:space="preserve"> 2026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>informuję o sprzedaży w drodze pierwszej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03.03.2026 rok , godz. 12.00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08"/>
        <w:gridCol w:w="1478"/>
        <w:gridCol w:w="1436"/>
        <w:gridCol w:w="1363"/>
        <w:gridCol w:w="1582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pojazd marki Toyota Land Cruiser rok prod. 2006, nr rej. AT6320HE, nr VIN: JTEBL29J865027476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23.000,00 zł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17.250,00 zł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2.300,00 zł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silnik nie odpala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brak powietrza w jednym kole</w:t>
            </w:r>
          </w:p>
        </w:tc>
      </w:tr>
    </w:tbl>
    <w:p>
      <w:pPr>
        <w:pStyle w:val="rdtytuKAS"/>
        <w:rPr>
          <w:color w:val="000000"/>
        </w:rPr>
      </w:pPr>
      <w:r>
        <w:rPr>
          <w:rFonts w:ascii="Lato" w:hAnsi="Lato"/>
          <w:color w:val="000000"/>
          <w:lang w:eastAsia="pl-PL"/>
        </w:rPr>
        <w:t xml:space="preserve">Wadium 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</w:t>
      </w:r>
      <w:r>
        <w:rPr>
          <w:rFonts w:eastAsia="Times New Roman" w:ascii="Lato" w:hAnsi="Lato"/>
          <w:color w:val="000000"/>
          <w:lang w:eastAsia="pl-PL"/>
        </w:rPr>
        <w:t xml:space="preserve">r </w:t>
      </w:r>
      <w:r>
        <w:rPr>
          <w:rFonts w:eastAsia="Times New Roman" w:ascii="Lato" w:hAnsi="Lato"/>
          <w:i/>
          <w:color w:val="000000"/>
          <w:sz w:val="24"/>
          <w:szCs w:val="24"/>
          <w:lang w:eastAsia="pl-PL"/>
        </w:rPr>
        <w:t>55 1010 1140 0144 0113 9120 0000</w:t>
      </w:r>
      <w:r>
        <w:rPr>
          <w:rFonts w:eastAsia="Times New Roman" w:ascii="Lato" w:hAnsi="Lato"/>
          <w:color w:val="000000"/>
          <w:lang w:eastAsia="pl-PL"/>
        </w:rPr>
        <w:t>. W treści przelewu proszę zamieścić słowo</w:t>
      </w:r>
      <w:r>
        <w:rPr>
          <w:rFonts w:eastAsia="Times New Roman" w:ascii="Lato" w:hAnsi="Lato"/>
          <w:lang w:eastAsia="pl-PL"/>
        </w:rPr>
        <w:t xml:space="preserve"> wadium i oznaczenie ruchomości, której dotyczy.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bookmarkStart w:id="0" w:name="mip62556468"/>
      <w:bookmarkEnd w:id="0"/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Lato" w:hAnsi="Lato"/>
          <w:color w:val="auto"/>
          <w:kern w:val="0"/>
          <w:sz w:val="24"/>
          <w:szCs w:val="24"/>
          <w:lang w:val="pl-PL" w:eastAsia="pl-PL" w:bidi="ar-SA"/>
        </w:rPr>
        <w:t>gotówką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/>
          <w:i/>
          <w:i/>
          <w:color w:themeColor="accent1" w:themeShade="bf" w:val="2F5496"/>
          <w:sz w:val="14"/>
          <w:szCs w:val="14"/>
          <w:lang w:eastAsia="pl-PL"/>
        </w:rPr>
      </w:pPr>
      <w:r>
        <w:rPr>
          <w:rFonts w:ascii="Lato" w:hAnsi="Lato"/>
          <w:i/>
          <w:color w:themeColor="accent1" w:themeShade="bf" w:val="2F5496"/>
          <w:sz w:val="14"/>
          <w:szCs w:val="1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Ruchomość można oglądać 03.03.2026 roku od godz. 9.00 do godz. 9.30 pod adresem Załakowo 18A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będzie musiał uregulować sytuację prawną w Urzędzie Celno – Skarbowym.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Application>LibreOffice/25.2.7.2$Windows_X86_64 LibreOffice_project/5cbfd1ab6520636bb5f7b99185aa69bd7456825d</Application>
  <AppVersion>15.0000</AppVersion>
  <Pages>2</Pages>
  <Words>349</Words>
  <Characters>2289</Characters>
  <CharactersWithSpaces>2616</CharactersWithSpaces>
  <Paragraphs>49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2026-02-25T11:01:00Z</cp:lastPrinted>
  <dcterms:modified xsi:type="dcterms:W3CDTF">2026-02-25T11:02:59Z</dcterms:modified>
  <cp:revision>30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