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w KARTUZACH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>
          <w:i w:val="false"/>
          <w:i w:val="false"/>
          <w:iCs w:val="false"/>
        </w:rPr>
      </w:pPr>
      <w:r>
        <mc:AlternateContent>
          <mc:Choice Requires="wps">
            <w:drawing>
              <wp:anchor behindDoc="0" distT="85725" distB="6985" distL="203200" distR="31750" simplePos="0" locked="0" layoutInCell="0" allowOverlap="0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5768340" cy="635"/>
                <wp:effectExtent l="635" t="6985" r="0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6828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9pt" to="454.15pt,2.9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 w:val="false"/>
          <w:iCs w:val="false"/>
          <w:color w:val="000000"/>
        </w:rPr>
        <w:t xml:space="preserve">Kartuzy,    </w:t>
      </w:r>
      <w:r>
        <w:rPr>
          <w:rFonts w:eastAsia="Calibri" w:cs="" w:ascii="Lato" w:hAnsi="Lato"/>
          <w:i w:val="false"/>
          <w:iCs w:val="false"/>
          <w:color w:val="000000"/>
          <w:kern w:val="0"/>
          <w:sz w:val="22"/>
          <w:szCs w:val="22"/>
          <w:lang w:val="pl-PL" w:eastAsia="en-US" w:bidi="ar-SA"/>
        </w:rPr>
        <w:t>lutego</w:t>
      </w:r>
      <w:r>
        <w:rPr>
          <w:rFonts w:ascii="Lato" w:hAnsi="Lato"/>
          <w:i w:val="false"/>
          <w:iCs w:val="false"/>
          <w:color w:val="000000"/>
        </w:rPr>
        <w:t xml:space="preserve"> 2026 roku</w:t>
      </w:r>
    </w:p>
    <w:p>
      <w:pPr>
        <w:pStyle w:val="TytupismaKAS"/>
        <w:jc w:val="center"/>
        <w:rPr>
          <w:color w:val="000000"/>
        </w:rPr>
      </w:pPr>
      <w:r>
        <w:rPr>
          <w:rFonts w:ascii="Lato" w:hAnsi="Lato"/>
          <w:color w:val="000000"/>
        </w:rPr>
        <w:t>OBWIESZCZENIE O PIERWSZEJ LICYTACJI RUCHOMOŚCI</w:t>
      </w:r>
    </w:p>
    <w:p>
      <w:pPr>
        <w:pStyle w:val="Standard"/>
        <w:spacing w:lineRule="auto" w:line="240" w:before="288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>
      <w:pPr>
        <w:pStyle w:val="Standard"/>
        <w:spacing w:lineRule="auto" w:line="240" w:before="0" w:after="0"/>
        <w:rPr/>
      </w:pPr>
      <w:r>
        <w:rPr>
          <w:rFonts w:ascii="Lato" w:hAnsi="Lato"/>
          <w:bCs/>
          <w:sz w:val="24"/>
          <w:szCs w:val="24"/>
        </w:rPr>
        <w:t>informuję o sprzedaży w drodze pierwszej licytacji publicznej ruchomości, której orzeczono przepadek na rzecz Skarbu Państwa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000000"/>
        </w:rPr>
        <w:t>Termin</w:t>
        <w:tab/>
        <w:t xml:space="preserve">    0</w:t>
      </w:r>
      <w:r>
        <w:rPr>
          <w:rStyle w:val="Nagwek2Znak"/>
          <w:rFonts w:ascii="Lato" w:hAnsi="Lato"/>
          <w:color w:val="000000"/>
        </w:rPr>
        <w:t>5</w:t>
      </w:r>
      <w:r>
        <w:rPr>
          <w:rStyle w:val="Nagwek2Znak"/>
          <w:rFonts w:ascii="Lato" w:hAnsi="Lato"/>
          <w:color w:val="000000"/>
        </w:rPr>
        <w:t>.03.2026 rok , godz. 1</w:t>
      </w:r>
      <w:r>
        <w:rPr>
          <w:rStyle w:val="Nagwek2Znak"/>
          <w:rFonts w:ascii="Lato" w:hAnsi="Lato"/>
          <w:color w:val="000000"/>
        </w:rPr>
        <w:t>0</w:t>
      </w:r>
      <w:r>
        <w:rPr>
          <w:rStyle w:val="Nagwek2Znak"/>
          <w:rFonts w:ascii="Lato" w:hAnsi="Lato"/>
          <w:color w:val="000000"/>
        </w:rPr>
        <w:t xml:space="preserve">.00 </w:t>
      </w:r>
    </w:p>
    <w:p>
      <w:pPr>
        <w:pStyle w:val="Normal"/>
        <w:spacing w:before="240" w:after="240"/>
        <w:ind w:hanging="1418" w:left="1418"/>
        <w:jc w:val="both"/>
        <w:rPr/>
      </w:pPr>
      <w:r>
        <w:rPr>
          <w:rStyle w:val="Nagwek2Znak"/>
          <w:rFonts w:ascii="Lato" w:hAnsi="Lato"/>
          <w:color w:val="000000"/>
        </w:rPr>
        <w:t>Miejsce</w:t>
        <w:tab/>
      </w:r>
      <w:r>
        <w:rPr>
          <w:rStyle w:val="Nagwek2Znak"/>
          <w:rFonts w:ascii="Lato" w:hAnsi="Lato"/>
          <w:b w:val="false"/>
          <w:bCs w:val="false"/>
          <w:color w:val="000000"/>
          <w:sz w:val="22"/>
          <w:szCs w:val="22"/>
        </w:rPr>
        <w:t xml:space="preserve">Urząd Skarbowy w Kartuzach, </w:t>
      </w:r>
      <w:r>
        <w:rPr>
          <w:rFonts w:ascii="Lato" w:hAnsi="Lato"/>
          <w:color w:val="000000"/>
          <w:lang w:val="fr-FR"/>
        </w:rPr>
        <w:tab/>
        <w:t xml:space="preserve">ul. Kościerska 13, 83-300 Kartuzy </w:t>
      </w:r>
      <w:r>
        <w:rPr>
          <w:rFonts w:ascii="Lato" w:hAnsi="Lato"/>
          <w:bCs/>
          <w:i/>
          <w:color w:val="000000"/>
          <w:sz w:val="24"/>
          <w:szCs w:val="24"/>
        </w:rPr>
        <w:t xml:space="preserve"> </w:t>
      </w:r>
    </w:p>
    <w:p>
      <w:pPr>
        <w:pStyle w:val="Heading2"/>
        <w:spacing w:lineRule="auto" w:line="240"/>
        <w:rPr>
          <w:color w:val="000000"/>
        </w:rPr>
      </w:pPr>
      <w:r>
        <w:rPr>
          <w:rFonts w:ascii="Lato" w:hAnsi="Lato"/>
          <w:color w:val="000000"/>
        </w:rPr>
        <w:t>Sprzedawane ruchomości</w:t>
      </w:r>
    </w:p>
    <w:tbl>
      <w:tblPr>
        <w:tblW w:w="9289" w:type="dxa"/>
        <w:jc w:val="left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1"/>
        <w:gridCol w:w="2883"/>
        <w:gridCol w:w="1489"/>
        <w:gridCol w:w="1350"/>
        <w:gridCol w:w="1364"/>
        <w:gridCol w:w="1581"/>
      </w:tblGrid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Określenie ruchomości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Wartość szacunkowa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Cena wywołania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Wadium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pPr>
            <w:r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Cambria" w:cs="Times New Roman"/>
                <w:b w:val="false"/>
                <w:bCs w:val="false"/>
                <w:color w:val="auto"/>
                <w:kern w:val="0"/>
                <w:sz w:val="28"/>
                <w:szCs w:val="28"/>
                <w:lang w:val="pl-PL" w:eastAsia="en-US" w:bidi="ar-SA"/>
              </w:rPr>
              <w:t>Samochód osobowy marki Audi A4 rok prod. 2002, nr rej. NBA 60F2, nr VIN: WAUZZZ8E33A179695, pierwsza rejestracja 28.06.2021</w:t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pPr>
            <w:r>
              <w:rPr>
                <w:rFonts w:eastAsia="Cambria" w:cs="Times New Roman"/>
                <w:b w:val="false"/>
                <w:bCs w:val="false"/>
                <w:sz w:val="28"/>
                <w:szCs w:val="28"/>
              </w:rPr>
            </w:r>
          </w:p>
          <w:p>
            <w:pPr>
              <w:pStyle w:val="Normal"/>
              <w:widowControl w:val="false"/>
              <w:bidi w:val="0"/>
              <w:spacing w:before="0" w:after="0"/>
              <w:ind w:hanging="0" w:left="0" w:right="0"/>
              <w:jc w:val="left"/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pPr>
            <w:r>
              <w:rPr>
                <w:rFonts w:eastAsia="Cambria" w:cs="Times New Roman"/>
                <w:b w:val="false"/>
                <w:bCs w:val="false"/>
                <w:sz w:val="14"/>
                <w:szCs w:val="14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9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00,00 zł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>
                <w:rFonts w:cs="Arial"/>
                <w:bCs/>
                <w:color w:val="000000"/>
                <w:sz w:val="24"/>
                <w:szCs w:val="24"/>
              </w:rPr>
              <w:t>7.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125</w:t>
            </w:r>
            <w:r>
              <w:rPr>
                <w:rFonts w:cs="Arial"/>
                <w:bCs/>
                <w:color w:val="000000"/>
                <w:sz w:val="24"/>
                <w:szCs w:val="24"/>
              </w:rPr>
              <w:t>,00 zł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color w:val="000000"/>
                <w:sz w:val="24"/>
                <w:szCs w:val="24"/>
              </w:rPr>
            </w:pPr>
            <w:r>
              <w:rPr/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i/>
                <w:i/>
                <w:color w:val="000000"/>
                <w:sz w:val="24"/>
                <w:szCs w:val="24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pacing w:lineRule="auto" w:line="276" w:before="120" w:after="0"/>
        <w:jc w:val="both"/>
        <w:rPr/>
      </w:pPr>
      <w:r>
        <w:rPr>
          <w:rFonts w:ascii="Lato" w:hAnsi="Lato"/>
          <w:bCs/>
          <w:sz w:val="24"/>
          <w:szCs w:val="24"/>
        </w:rPr>
        <w:t>Ruchomość można oglądać 0</w:t>
      </w:r>
      <w:r>
        <w:rPr>
          <w:rFonts w:ascii="Lato" w:hAnsi="Lato"/>
          <w:bCs/>
          <w:sz w:val="24"/>
          <w:szCs w:val="24"/>
        </w:rPr>
        <w:t>5</w:t>
      </w:r>
      <w:r>
        <w:rPr>
          <w:rFonts w:ascii="Lato" w:hAnsi="Lato"/>
          <w:bCs/>
          <w:sz w:val="24"/>
          <w:szCs w:val="24"/>
        </w:rPr>
        <w:t xml:space="preserve">.03.2026 roku od godz. 9.00 do godz. 9.30 pod adresem </w:t>
      </w:r>
      <w:r>
        <w:rPr>
          <w:rFonts w:ascii="Lato" w:hAnsi="Lato"/>
          <w:bCs/>
          <w:sz w:val="24"/>
          <w:szCs w:val="24"/>
        </w:rPr>
        <w:t>83-300 Kartuzy, ul. Kościerska 13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>.</w:t>
      </w:r>
    </w:p>
    <w:p>
      <w:pPr>
        <w:pStyle w:val="Standard"/>
        <w:spacing w:lineRule="auto" w:line="240" w:before="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pacing w:lineRule="auto" w:line="240" w:before="120" w:after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</w:t>
      </w:r>
      <w:r>
        <w:rPr>
          <w:rFonts w:ascii="Lato" w:hAnsi="Lato"/>
          <w:bCs/>
          <w:i w:val="false"/>
          <w:iCs w:val="false"/>
          <w:color w:val="000000"/>
          <w:sz w:val="24"/>
          <w:szCs w:val="24"/>
        </w:rPr>
        <w:t xml:space="preserve">aż nie jest </w:t>
      </w:r>
      <w:r>
        <w:rPr>
          <w:rFonts w:ascii="Lato" w:hAnsi="Lato"/>
          <w:bCs/>
          <w:color w:val="000000"/>
          <w:sz w:val="24"/>
          <w:szCs w:val="24"/>
        </w:rPr>
        <w:t>opo</w:t>
      </w:r>
      <w:r>
        <w:rPr>
          <w:rFonts w:ascii="Lato" w:hAnsi="Lato"/>
          <w:bCs/>
          <w:sz w:val="24"/>
          <w:szCs w:val="24"/>
        </w:rPr>
        <w:t>datkowana podatkiem od towarów i usług.</w:t>
      </w:r>
    </w:p>
    <w:p>
      <w:pPr>
        <w:pStyle w:val="Standard"/>
        <w:spacing w:lineRule="auto" w:line="276" w:before="120" w:after="0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Nabywca obowiązany jest </w:t>
      </w:r>
      <w:r>
        <w:rPr>
          <w:rFonts w:ascii="Lato" w:hAnsi="Lato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niezwłocznie</w:t>
      </w:r>
      <w:r>
        <w:rPr>
          <w:rFonts w:ascii="Lato" w:hAnsi="Lato"/>
          <w:bCs/>
          <w:sz w:val="24"/>
          <w:szCs w:val="24"/>
        </w:rPr>
        <w:t xml:space="preserve">  po udzieleniu mu przybicia uiścić przynajmniej cenę wywołania przelewem na rachunek bankowych organu egzekucyjnego. Jeżeli ceny tej nabywca nie uiści, traci prawo wynikłe z przybicia i nie może uczestniczyć w licytacji tej samej ruchomości. Pozostałą do zapłaty część wylicytowanej kwoty należy wpłacić na rachunek bankowy organowi egzekucyjnemu niezwłocznie, nie później niż w dniu następującym po dniu licytacji.</w:t>
      </w:r>
    </w:p>
    <w:p>
      <w:pPr>
        <w:pStyle w:val="Standard"/>
        <w:spacing w:lineRule="auto" w:line="240" w:before="120" w:after="0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Szczegółowe informacje można uzyskać w</w:t>
      </w:r>
      <w:r>
        <w:rPr>
          <w:rFonts w:ascii="Lato" w:hAnsi="Lato"/>
          <w:bCs/>
          <w:color w:val="000000"/>
          <w:sz w:val="24"/>
          <w:szCs w:val="24"/>
        </w:rPr>
        <w:t xml:space="preserve"> Dziale  Egze</w:t>
      </w:r>
      <w:r>
        <w:rPr>
          <w:rFonts w:ascii="Lato" w:hAnsi="Lato"/>
          <w:bCs/>
          <w:sz w:val="24"/>
          <w:szCs w:val="24"/>
        </w:rPr>
        <w:t>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pacing w:before="0" w:after="0"/>
        <w:contextualSpacing/>
        <w:rPr>
          <w:rFonts w:ascii="Lato" w:hAnsi="Lato"/>
          <w:color w:themeColor="accent1" w:themeShade="bf" w:val="2F5496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  <w:t>58 685-28-82 bądź  58 685-28-80</w:t>
      </w:r>
    </w:p>
    <w:p>
      <w:pPr>
        <w:pStyle w:val="TekstpismaKAS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rPr>
          <w:rFonts w:ascii="Lato" w:hAnsi="Lato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rPr>
          <w:color w:val="000000"/>
        </w:rPr>
      </w:pPr>
      <w:r>
        <w:rPr>
          <w:rFonts w:eastAsia="Lato" w:cs="Calibri" w:ascii="Lato" w:hAnsi="Lato"/>
          <w:color w:val="000000"/>
          <w:kern w:val="0"/>
          <w:sz w:val="24"/>
          <w:szCs w:val="24"/>
          <w:lang w:val="pl-PL" w:eastAsia="en-US" w:bidi="ar-SA"/>
        </w:rPr>
        <w:t>lukasz</w:t>
      </w:r>
      <w:r>
        <w:rPr>
          <w:rFonts w:ascii="Lato" w:hAnsi="Lato"/>
          <w:color w:val="000000"/>
        </w:rPr>
        <w:t>.kostuch@mf.gov.pl</w:t>
      </w:r>
    </w:p>
    <w:p>
      <w:pPr>
        <w:pStyle w:val="Standard"/>
        <w:spacing w:lineRule="auto" w:line="240" w:before="120" w:after="0"/>
        <w:rPr>
          <w:rFonts w:ascii="Lato" w:hAnsi="Lato"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oraz na stroni</w:t>
      </w:r>
      <w:r>
        <w:rPr>
          <w:rFonts w:ascii="Lato" w:hAnsi="Lato"/>
          <w:bCs/>
          <w:color w:val="000000"/>
          <w:sz w:val="24"/>
          <w:szCs w:val="24"/>
        </w:rPr>
        <w:t>e:</w:t>
      </w:r>
      <w:r>
        <w:rPr>
          <w:rFonts w:ascii="Lato" w:hAnsi="Lato"/>
          <w:color w:val="000000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00000"/>
            <w:sz w:val="24"/>
            <w:szCs w:val="24"/>
            <w:u w:val="single"/>
          </w:rPr>
          <w:t>https://www.pomorskie.kas.gov.pl/urzad-skarbowy-kartuzach</w:t>
        </w:r>
      </w:hyperlink>
      <w:r>
        <w:rPr>
          <w:rFonts w:ascii="Lato" w:hAnsi="Lato"/>
          <w:bCs/>
          <w:color w:val="000000"/>
          <w:sz w:val="24"/>
          <w:szCs w:val="24"/>
        </w:rPr>
        <w:t>,</w:t>
      </w:r>
      <w:r>
        <w:rPr>
          <w:rFonts w:ascii="Lato" w:hAnsi="Lato"/>
          <w:bCs/>
          <w:sz w:val="24"/>
          <w:szCs w:val="24"/>
        </w:rPr>
        <w:br/>
        <w:t>w zakładce ogłoszenia - obwieszczenia o licytacji.</w:t>
      </w:r>
    </w:p>
    <w:p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Art. 105 – art. 107 ustawy z dnia 17 czerwca 1966 r. o postępowaniu egzekucyjnym 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 administracji (Dz.U. z 2025, poz. 132).</w:t>
      </w:r>
    </w:p>
    <w:p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8390" cy="31432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8280" cy="314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pt;width:85.65pt;height:24.7pt;mso-wrap-style:square;v-text-anchor:top;mso-position-vertical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widowControl/>
      <w:pBdr>
        <w:left w:val="single" w:sz="4" w:space="4" w:color="000000"/>
      </w:pBdr>
      <w:suppressAutoHyphens w:val="true"/>
      <w:bidi w:val="0"/>
      <w:spacing w:lineRule="auto" w:line="259" w:before="0" w:after="0"/>
      <w:ind w:hanging="0" w:left="2154" w:right="-57"/>
      <w:contextualSpacing/>
      <w:jc w:val="left"/>
      <w:rPr>
        <w:rFonts w:cs="Calibri"/>
        <w:lang w:val="en-US"/>
      </w:rPr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8345" cy="31432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8280" cy="314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.3pt;height:24.7pt;mso-wrap-style:square;v-text-anchor:top;mso-position-vertical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>e-mail: us.kartuzy@mf.gov.pl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http://www.pomorskie.kas.gov.pl/urzad-skarbowy-w-Kartuzach</w:t>
    </w:r>
  </w:p>
  <w:p>
    <w:pPr>
      <w:pStyle w:val="StopkaKAS"/>
      <w:rPr>
        <w:rFonts w:cs="Calibri"/>
      </w:rPr>
    </w:pPr>
    <w:r>
      <w:rPr>
        <w:rFonts w:cs="Calibri"/>
      </w:rPr>
      <w:t xml:space="preserve">Urząd Skarbowy w Kartuzach, ul. Kościerska 13, 83-300 Kartuzy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shadow w:val="false"/>
        <w:u w:val="none"/>
        <w:b w:val="false"/>
        <w:kern w:val="0"/>
        <w:effect w:val="none"/>
        <w:iCs w:val="false"/>
        <w:bCs w:val="false"/>
        <w:em w:val="none"/>
        <w:emboss w:val="false"/>
        <w:imprint w:val="false"/>
        <w:vanish w:val="false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mirrorMargins/>
  <w:defaultTabStop w:val="284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  <w:outlineLvl w:val="9"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  <w:outlineLvl w:val="9"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Application>LibreOffice/25.2.7.2$Windows_X86_64 LibreOffice_project/5cbfd1ab6520636bb5f7b99185aa69bd7456825d</Application>
  <AppVersion>15.0000</AppVersion>
  <Pages>2</Pages>
  <Words>247</Words>
  <Characters>1674</Characters>
  <CharactersWithSpaces>1905</CharactersWithSpaces>
  <Paragraphs>37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2023-06-01T09:10:00Z</dcterms:created>
  <dc:creator>Pietrucha Monika;Staszak Anetta;Urbala Andrzej</dc:creator>
  <dc:description/>
  <dc:language>pl-PL</dc:language>
  <cp:lastModifiedBy/>
  <cp:lastPrinted>2026-02-25T11:01:00Z</cp:lastPrinted>
  <dcterms:modified xsi:type="dcterms:W3CDTF">2026-02-26T10:33:12Z</dcterms:modified>
  <cp:revision>31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