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1EE0C" w14:textId="6B77FD81" w:rsidR="0067340C" w:rsidRPr="00096EC8" w:rsidRDefault="0067340C" w:rsidP="0067340C">
      <w:pPr>
        <w:pStyle w:val="Nagwek11"/>
        <w:spacing w:before="120" w:line="276" w:lineRule="auto"/>
        <w:rPr>
          <w:rFonts w:ascii="Lato" w:hAnsi="Lato" w:cs="Arial"/>
          <w:sz w:val="28"/>
          <w:szCs w:val="28"/>
        </w:rPr>
      </w:pPr>
      <w:r w:rsidRPr="00096EC8">
        <w:rPr>
          <w:rFonts w:ascii="Lato" w:hAnsi="Lato" w:cs="Arial"/>
          <w:sz w:val="28"/>
          <w:szCs w:val="28"/>
        </w:rPr>
        <w:t>OBWIESZCZENIE O  LICYTACJI NIERUCHOMOŚCI</w:t>
      </w:r>
    </w:p>
    <w:p w14:paraId="2FE084DF" w14:textId="77777777" w:rsidR="002C4078" w:rsidRPr="00096EC8" w:rsidRDefault="002C4078" w:rsidP="002C4078">
      <w:pPr>
        <w:pStyle w:val="Standard"/>
        <w:spacing w:after="0" w:line="240" w:lineRule="auto"/>
        <w:rPr>
          <w:rFonts w:ascii="Lato" w:hAnsi="Lato"/>
          <w:bCs/>
          <w:sz w:val="24"/>
          <w:szCs w:val="24"/>
        </w:rPr>
      </w:pPr>
      <w:r w:rsidRPr="00096EC8">
        <w:rPr>
          <w:rFonts w:ascii="Lato" w:hAnsi="Lato"/>
          <w:bCs/>
          <w:sz w:val="24"/>
          <w:szCs w:val="24"/>
        </w:rPr>
        <w:t>Szanowni Państwo,</w:t>
      </w:r>
    </w:p>
    <w:p w14:paraId="292AB2A9" w14:textId="09D38298" w:rsidR="007909FB" w:rsidRPr="00096EC8" w:rsidRDefault="007909FB" w:rsidP="00C91C9C">
      <w:pPr>
        <w:spacing w:before="120"/>
        <w:rPr>
          <w:rFonts w:ascii="Lato" w:hAnsi="Lato" w:cstheme="minorBidi"/>
        </w:rPr>
      </w:pPr>
      <w:r w:rsidRPr="00096EC8">
        <w:rPr>
          <w:rFonts w:ascii="Lato" w:hAnsi="Lato"/>
          <w:bCs/>
        </w:rPr>
        <w:t xml:space="preserve">informuję o sprzedaży w drodze licytacji publicznej </w:t>
      </w:r>
      <w:r w:rsidRPr="00096EC8">
        <w:rPr>
          <w:rFonts w:ascii="Lato" w:hAnsi="Lato" w:cstheme="minorHAnsi"/>
        </w:rPr>
        <w:t>nieruchomości gruntowej niezabudowanej - rolnej, położonej w miejscowości Jasna, gmina Dzierzgoń na gruncie działki nr 46, dla której Sąd Rejonowy w Kwidzynie VIII Zamiejscowy Wydział Ksiąg Wieczystych w Sztumie prowadzi księgę wieczystą nr GD2I/00001710/9</w:t>
      </w:r>
      <w:r w:rsidRPr="00096EC8">
        <w:rPr>
          <w:rFonts w:ascii="Lato" w:hAnsi="Lato"/>
        </w:rPr>
        <w:t>, stanowiącej własność Pana Bartosza Skuchy.</w:t>
      </w:r>
      <w:r w:rsidR="00C91C9C" w:rsidRPr="00096EC8">
        <w:rPr>
          <w:rFonts w:ascii="Lato" w:hAnsi="Lato"/>
        </w:rPr>
        <w:t xml:space="preserve">                                                                                                                </w:t>
      </w:r>
      <w:r w:rsidRPr="00096EC8">
        <w:rPr>
          <w:rFonts w:ascii="Lato" w:hAnsi="Lato" w:cstheme="minorBidi"/>
        </w:rPr>
        <w:t xml:space="preserve">Działka nr 46 o powierzchni 2,8892 ha oznaczona jest w ewidencji gruntów symbolem: </w:t>
      </w:r>
      <w:proofErr w:type="spellStart"/>
      <w:r w:rsidRPr="00096EC8">
        <w:rPr>
          <w:rFonts w:ascii="Lato" w:hAnsi="Lato" w:cstheme="minorBidi"/>
        </w:rPr>
        <w:t>RIIIa</w:t>
      </w:r>
      <w:proofErr w:type="spellEnd"/>
      <w:r w:rsidRPr="00096EC8">
        <w:rPr>
          <w:rFonts w:ascii="Lato" w:hAnsi="Lato" w:cstheme="minorBidi"/>
        </w:rPr>
        <w:t xml:space="preserve"> – grunty orne (pow. 1,3596 ha), </w:t>
      </w:r>
      <w:proofErr w:type="spellStart"/>
      <w:r w:rsidRPr="00096EC8">
        <w:rPr>
          <w:rFonts w:ascii="Lato" w:hAnsi="Lato" w:cstheme="minorBidi"/>
        </w:rPr>
        <w:t>RIIIb</w:t>
      </w:r>
      <w:proofErr w:type="spellEnd"/>
      <w:r w:rsidRPr="00096EC8">
        <w:rPr>
          <w:rFonts w:ascii="Lato" w:hAnsi="Lato" w:cstheme="minorBidi"/>
        </w:rPr>
        <w:t xml:space="preserve"> – grunty orne (pow. 1,5296 ha). Działka o kształcie nieregularnym. Położenie </w:t>
      </w:r>
      <w:proofErr w:type="spellStart"/>
      <w:r w:rsidRPr="00096EC8">
        <w:rPr>
          <w:rFonts w:ascii="Lato" w:hAnsi="Lato" w:cstheme="minorBidi"/>
        </w:rPr>
        <w:t>sytuacyjno</w:t>
      </w:r>
      <w:proofErr w:type="spellEnd"/>
      <w:r w:rsidRPr="00096EC8">
        <w:rPr>
          <w:rFonts w:ascii="Lato" w:hAnsi="Lato" w:cstheme="minorBidi"/>
        </w:rPr>
        <w:t xml:space="preserve"> – wysokościowe nieruchomości jest korzystne. Działka nieogrodzona, niezabudowana i nieuzbrojona. </w:t>
      </w:r>
      <w:r w:rsidR="00C91C9C" w:rsidRPr="00096EC8">
        <w:rPr>
          <w:rFonts w:ascii="Lato" w:hAnsi="Lato" w:cstheme="minorBidi"/>
        </w:rPr>
        <w:t xml:space="preserve">                                               </w:t>
      </w:r>
      <w:r w:rsidRPr="00096EC8">
        <w:rPr>
          <w:rFonts w:ascii="Lato" w:hAnsi="Lato" w:cstheme="minorBidi"/>
        </w:rPr>
        <w:t>Dojazd do nieruchomości jest korzystny, odbywa się droga gruntową utwardzoną płytami betonowymi, a następnie  około 100 m nieutwardzoną drogą gminną. Odległość do drogi asfaltowej to około 1100m.</w:t>
      </w:r>
    </w:p>
    <w:p w14:paraId="6614BA3C" w14:textId="77777777" w:rsidR="007909FB" w:rsidRPr="00096EC8" w:rsidRDefault="007909FB" w:rsidP="007909FB">
      <w:pPr>
        <w:pStyle w:val="WW-Domylnie"/>
        <w:spacing w:before="120"/>
        <w:rPr>
          <w:rFonts w:ascii="Lato" w:hAnsi="Lato" w:cstheme="minorHAnsi"/>
          <w:szCs w:val="24"/>
        </w:rPr>
      </w:pPr>
      <w:r w:rsidRPr="00096EC8">
        <w:rPr>
          <w:rFonts w:ascii="Lato" w:hAnsi="Lato" w:cstheme="minorHAnsi"/>
          <w:szCs w:val="24"/>
        </w:rPr>
        <w:t>Zgodnie z miejscowym planem zagospodarowania przestrzennego, teren na którym zlokalizowana jest nieruchomość, znajduje się w jednostce bilansowej oznaczonej symbolem 04.R dla której obowiązują następujące ustalenia:</w:t>
      </w:r>
    </w:p>
    <w:p w14:paraId="44397C85" w14:textId="77777777" w:rsidR="007909FB" w:rsidRPr="00096EC8" w:rsidRDefault="007909FB" w:rsidP="007909FB">
      <w:pPr>
        <w:pStyle w:val="WW-Domylnie"/>
        <w:numPr>
          <w:ilvl w:val="0"/>
          <w:numId w:val="4"/>
        </w:numPr>
        <w:spacing w:before="120"/>
        <w:rPr>
          <w:rFonts w:ascii="Lato" w:hAnsi="Lato" w:cstheme="minorHAnsi"/>
          <w:szCs w:val="24"/>
        </w:rPr>
      </w:pPr>
      <w:r w:rsidRPr="00096EC8">
        <w:rPr>
          <w:rFonts w:ascii="Lato" w:hAnsi="Lato" w:cstheme="minorHAnsi"/>
          <w:szCs w:val="24"/>
        </w:rPr>
        <w:t>przeznaczenie: teren rolniczy; dopuszcza się zagospodarowanie zgodnie z pkt2;</w:t>
      </w:r>
    </w:p>
    <w:p w14:paraId="6C6AC34B" w14:textId="77777777" w:rsidR="007909FB" w:rsidRPr="00096EC8" w:rsidRDefault="007909FB" w:rsidP="007909FB">
      <w:pPr>
        <w:pStyle w:val="WW-Domylnie"/>
        <w:numPr>
          <w:ilvl w:val="0"/>
          <w:numId w:val="4"/>
        </w:numPr>
        <w:spacing w:before="120"/>
        <w:rPr>
          <w:rFonts w:ascii="Lato" w:hAnsi="Lato" w:cstheme="minorHAnsi"/>
          <w:szCs w:val="24"/>
        </w:rPr>
      </w:pPr>
      <w:r w:rsidRPr="00096EC8">
        <w:rPr>
          <w:rFonts w:ascii="Lato" w:hAnsi="Lato" w:cstheme="minorHAnsi"/>
          <w:szCs w:val="24"/>
        </w:rPr>
        <w:t>sposoby zagospodarowania terenu:</w:t>
      </w:r>
    </w:p>
    <w:p w14:paraId="56D3114D" w14:textId="77777777" w:rsidR="007909FB" w:rsidRPr="00096EC8" w:rsidRDefault="007909FB" w:rsidP="007909FB">
      <w:pPr>
        <w:pStyle w:val="WW-Domylnie"/>
        <w:numPr>
          <w:ilvl w:val="0"/>
          <w:numId w:val="5"/>
        </w:numPr>
        <w:spacing w:before="120"/>
        <w:rPr>
          <w:rFonts w:ascii="Lato" w:hAnsi="Lato" w:cstheme="minorHAnsi"/>
          <w:szCs w:val="24"/>
        </w:rPr>
      </w:pPr>
      <w:r w:rsidRPr="00096EC8">
        <w:rPr>
          <w:rFonts w:ascii="Lato" w:hAnsi="Lato" w:cstheme="minorHAnsi"/>
          <w:szCs w:val="24"/>
        </w:rPr>
        <w:t>uprawy rolnicze;</w:t>
      </w:r>
    </w:p>
    <w:p w14:paraId="7A4B96F4" w14:textId="77777777" w:rsidR="007909FB" w:rsidRPr="00096EC8" w:rsidRDefault="007909FB" w:rsidP="007909FB">
      <w:pPr>
        <w:pStyle w:val="WW-Domylnie"/>
        <w:numPr>
          <w:ilvl w:val="0"/>
          <w:numId w:val="5"/>
        </w:numPr>
        <w:spacing w:before="120"/>
        <w:rPr>
          <w:rFonts w:ascii="Lato" w:hAnsi="Lato" w:cstheme="minorHAnsi"/>
          <w:szCs w:val="24"/>
        </w:rPr>
      </w:pPr>
      <w:r w:rsidRPr="00096EC8">
        <w:rPr>
          <w:rFonts w:ascii="Lato" w:hAnsi="Lato" w:cstheme="minorHAnsi"/>
          <w:szCs w:val="24"/>
        </w:rPr>
        <w:t>lokalizacja podziemnych sieci elektroenergetycznych wysokiego napięcia, średniego napięcia i niskiego napięcia, podziemnych sieci telekomunikacyjnych oraz inny podziemnych urządzeń, obiektów budowalnych i infrastruktury technicznej związanych z budową i funkcjonowaniem: sieci, elektrowni wiatrowych oraz innych obiektów budowlanych dopuszczonych w planie;</w:t>
      </w:r>
    </w:p>
    <w:p w14:paraId="40EB02A1" w14:textId="77777777" w:rsidR="007909FB" w:rsidRPr="00096EC8" w:rsidRDefault="007909FB" w:rsidP="007909FB">
      <w:pPr>
        <w:pStyle w:val="WW-Domylnie"/>
        <w:numPr>
          <w:ilvl w:val="0"/>
          <w:numId w:val="5"/>
        </w:numPr>
        <w:spacing w:before="120"/>
        <w:rPr>
          <w:rFonts w:ascii="Lato" w:hAnsi="Lato" w:cstheme="minorHAnsi"/>
          <w:szCs w:val="24"/>
        </w:rPr>
      </w:pPr>
      <w:r w:rsidRPr="00096EC8">
        <w:rPr>
          <w:rFonts w:ascii="Lato" w:hAnsi="Lato" w:cstheme="minorHAnsi"/>
          <w:szCs w:val="24"/>
        </w:rPr>
        <w:t>lokalizacja sieci infrastruktury technicznej, o których mowa w § 7, pkt 6;</w:t>
      </w:r>
    </w:p>
    <w:p w14:paraId="12D0BB39" w14:textId="77777777" w:rsidR="007909FB" w:rsidRPr="00096EC8" w:rsidRDefault="007909FB" w:rsidP="007909FB">
      <w:pPr>
        <w:pStyle w:val="WW-Domylnie"/>
        <w:numPr>
          <w:ilvl w:val="0"/>
          <w:numId w:val="5"/>
        </w:numPr>
        <w:spacing w:before="120"/>
        <w:rPr>
          <w:rFonts w:ascii="Lato" w:hAnsi="Lato" w:cstheme="minorHAnsi"/>
          <w:szCs w:val="24"/>
        </w:rPr>
      </w:pPr>
      <w:r w:rsidRPr="00096EC8">
        <w:rPr>
          <w:rFonts w:ascii="Lato" w:hAnsi="Lato" w:cstheme="minorHAnsi"/>
          <w:szCs w:val="24"/>
        </w:rPr>
        <w:t>lokalizacja dróg dojazdowych do gruntów rolnych;</w:t>
      </w:r>
    </w:p>
    <w:p w14:paraId="6CAB4049" w14:textId="77777777" w:rsidR="007909FB" w:rsidRPr="00096EC8" w:rsidRDefault="007909FB" w:rsidP="007909FB">
      <w:pPr>
        <w:pStyle w:val="WW-Domylnie"/>
        <w:numPr>
          <w:ilvl w:val="0"/>
          <w:numId w:val="5"/>
        </w:numPr>
        <w:spacing w:before="120"/>
        <w:rPr>
          <w:rFonts w:ascii="Lato" w:hAnsi="Lato" w:cstheme="minorHAnsi"/>
          <w:szCs w:val="24"/>
        </w:rPr>
      </w:pPr>
      <w:r w:rsidRPr="00096EC8">
        <w:rPr>
          <w:rFonts w:ascii="Lato" w:hAnsi="Lato" w:cstheme="minorHAnsi"/>
          <w:szCs w:val="24"/>
        </w:rPr>
        <w:t>lokalizacja łopat elektrowni wiatrowych nad powierzchnią terenu;</w:t>
      </w:r>
    </w:p>
    <w:p w14:paraId="00CE34C6" w14:textId="77777777" w:rsidR="007909FB" w:rsidRPr="00096EC8" w:rsidRDefault="007909FB" w:rsidP="007909FB">
      <w:pPr>
        <w:pStyle w:val="WW-Domylnie"/>
        <w:numPr>
          <w:ilvl w:val="0"/>
          <w:numId w:val="4"/>
        </w:numPr>
        <w:spacing w:before="120"/>
        <w:rPr>
          <w:rFonts w:ascii="Lato" w:hAnsi="Lato" w:cstheme="minorHAnsi"/>
          <w:szCs w:val="24"/>
        </w:rPr>
      </w:pPr>
      <w:r w:rsidRPr="00096EC8">
        <w:rPr>
          <w:rFonts w:ascii="Lato" w:hAnsi="Lato" w:cstheme="minorHAnsi"/>
          <w:szCs w:val="24"/>
        </w:rPr>
        <w:t>szczególne warunki zagospodarowania terenów oraz ograniczenia w ich użytkowaniu, w tym zakaz zabudowy:</w:t>
      </w:r>
    </w:p>
    <w:p w14:paraId="01CB33F9" w14:textId="77777777" w:rsidR="007909FB" w:rsidRPr="00096EC8" w:rsidRDefault="007909FB" w:rsidP="007909FB">
      <w:pPr>
        <w:pStyle w:val="WW-Domylnie"/>
        <w:numPr>
          <w:ilvl w:val="0"/>
          <w:numId w:val="6"/>
        </w:numPr>
        <w:spacing w:before="120"/>
        <w:rPr>
          <w:rFonts w:ascii="Lato" w:hAnsi="Lato" w:cstheme="minorHAnsi"/>
          <w:szCs w:val="24"/>
        </w:rPr>
      </w:pPr>
      <w:r w:rsidRPr="00096EC8">
        <w:rPr>
          <w:rFonts w:ascii="Lato" w:hAnsi="Lato" w:cstheme="minorHAnsi"/>
          <w:szCs w:val="24"/>
        </w:rPr>
        <w:t>zakaz zabudowy, w tym również lokalizacji zabudowy związanej z prowadzeniem produkcji rolniczej oraz przetwórstwa rolno-spożywczego (budynków mieszkalnych oraz budynków i budowli gospodarczych i inwentarskich)- za wyjątkiem obiektów, o których mowa w pkt 2;</w:t>
      </w:r>
    </w:p>
    <w:p w14:paraId="6B959918" w14:textId="77777777" w:rsidR="007909FB" w:rsidRPr="00096EC8" w:rsidRDefault="007909FB" w:rsidP="007909FB">
      <w:pPr>
        <w:pStyle w:val="WW-Domylnie"/>
        <w:numPr>
          <w:ilvl w:val="0"/>
          <w:numId w:val="6"/>
        </w:numPr>
        <w:spacing w:before="120"/>
        <w:rPr>
          <w:rFonts w:ascii="Lato" w:hAnsi="Lato" w:cstheme="minorHAnsi"/>
          <w:szCs w:val="24"/>
        </w:rPr>
      </w:pPr>
      <w:r w:rsidRPr="00096EC8">
        <w:rPr>
          <w:rFonts w:ascii="Lato" w:hAnsi="Lato" w:cstheme="minorHAnsi"/>
          <w:szCs w:val="24"/>
        </w:rPr>
        <w:t>zakaz lokalizacji reklam;</w:t>
      </w:r>
    </w:p>
    <w:p w14:paraId="651F178D" w14:textId="77777777" w:rsidR="007909FB" w:rsidRPr="00096EC8" w:rsidRDefault="007909FB" w:rsidP="007909FB">
      <w:pPr>
        <w:pStyle w:val="WW-Domylnie"/>
        <w:numPr>
          <w:ilvl w:val="0"/>
          <w:numId w:val="6"/>
        </w:numPr>
        <w:spacing w:before="120"/>
        <w:rPr>
          <w:rFonts w:ascii="Lato" w:hAnsi="Lato" w:cstheme="minorHAnsi"/>
          <w:szCs w:val="24"/>
        </w:rPr>
      </w:pPr>
      <w:r w:rsidRPr="00096EC8">
        <w:rPr>
          <w:rFonts w:ascii="Lato" w:hAnsi="Lato" w:cstheme="minorHAnsi"/>
          <w:szCs w:val="24"/>
        </w:rPr>
        <w:t>zakaz zalesień oraz wykonywania zbiorników wodnych;</w:t>
      </w:r>
    </w:p>
    <w:p w14:paraId="74D7680B" w14:textId="77777777" w:rsidR="007909FB" w:rsidRPr="00096EC8" w:rsidRDefault="007909FB" w:rsidP="007909FB">
      <w:pPr>
        <w:pStyle w:val="WW-Domylnie"/>
        <w:numPr>
          <w:ilvl w:val="0"/>
          <w:numId w:val="6"/>
        </w:numPr>
        <w:spacing w:before="120"/>
        <w:rPr>
          <w:rFonts w:ascii="Lato" w:hAnsi="Lato" w:cstheme="minorHAnsi"/>
          <w:szCs w:val="24"/>
        </w:rPr>
      </w:pPr>
      <w:r w:rsidRPr="00096EC8">
        <w:rPr>
          <w:rFonts w:ascii="Lato" w:hAnsi="Lato" w:cstheme="minorHAnsi"/>
          <w:szCs w:val="24"/>
        </w:rPr>
        <w:t>zakaz zagospodarowania i użytkowania terenu w celach rekreacyjno-wypoczynkowych.</w:t>
      </w:r>
    </w:p>
    <w:p w14:paraId="558AC569" w14:textId="77777777" w:rsidR="007909FB" w:rsidRPr="00096EC8" w:rsidRDefault="007909FB" w:rsidP="002C4078">
      <w:pPr>
        <w:pStyle w:val="Standard"/>
        <w:spacing w:after="0" w:line="240" w:lineRule="auto"/>
        <w:jc w:val="both"/>
        <w:rPr>
          <w:rFonts w:ascii="Lato" w:hAnsi="Lato"/>
          <w:bCs/>
          <w:sz w:val="24"/>
          <w:szCs w:val="24"/>
        </w:rPr>
      </w:pPr>
    </w:p>
    <w:p w14:paraId="1417AFE1" w14:textId="22F2C803" w:rsidR="0067340C" w:rsidRPr="00096EC8" w:rsidRDefault="0067340C" w:rsidP="00C62972">
      <w:pPr>
        <w:rPr>
          <w:rFonts w:ascii="Lato" w:hAnsi="Lato" w:cs="Arial"/>
          <w:b/>
          <w:bCs/>
          <w:vertAlign w:val="superscript"/>
        </w:rPr>
      </w:pPr>
      <w:r w:rsidRPr="00096EC8">
        <w:rPr>
          <w:rStyle w:val="Nagwek2Znak"/>
          <w:rFonts w:ascii="Lato" w:hAnsi="Lato" w:cs="Arial"/>
          <w:b/>
          <w:bCs/>
          <w:color w:val="auto"/>
          <w:sz w:val="24"/>
          <w:szCs w:val="24"/>
        </w:rPr>
        <w:t>Termin</w:t>
      </w:r>
      <w:r w:rsidRPr="00096EC8">
        <w:rPr>
          <w:rStyle w:val="Nagwek2Znak"/>
          <w:rFonts w:ascii="Lato" w:hAnsi="Lato" w:cs="Arial"/>
          <w:b/>
          <w:bCs/>
          <w:color w:val="auto"/>
          <w:sz w:val="24"/>
          <w:szCs w:val="24"/>
        </w:rPr>
        <w:tab/>
      </w:r>
      <w:r w:rsidR="00A11553" w:rsidRPr="00096EC8">
        <w:rPr>
          <w:rStyle w:val="Nagwek2Znak"/>
          <w:rFonts w:ascii="Lato" w:hAnsi="Lato" w:cs="Arial"/>
          <w:iCs/>
          <w:color w:val="auto"/>
          <w:sz w:val="24"/>
          <w:szCs w:val="24"/>
        </w:rPr>
        <w:t>23</w:t>
      </w:r>
      <w:r w:rsidR="00366108" w:rsidRPr="00096EC8">
        <w:rPr>
          <w:rStyle w:val="Nagwek2Znak"/>
          <w:rFonts w:ascii="Lato" w:hAnsi="Lato" w:cs="Arial"/>
          <w:iCs/>
          <w:color w:val="auto"/>
          <w:sz w:val="24"/>
          <w:szCs w:val="24"/>
        </w:rPr>
        <w:t>.</w:t>
      </w:r>
      <w:r w:rsidR="006D3ECE" w:rsidRPr="00096EC8">
        <w:rPr>
          <w:rStyle w:val="Nagwek2Znak"/>
          <w:rFonts w:ascii="Lato" w:hAnsi="Lato" w:cs="Arial"/>
          <w:iCs/>
          <w:color w:val="auto"/>
          <w:sz w:val="24"/>
          <w:szCs w:val="24"/>
        </w:rPr>
        <w:t>04</w:t>
      </w:r>
      <w:r w:rsidRPr="00096EC8">
        <w:rPr>
          <w:rStyle w:val="Nagwek2Znak"/>
          <w:rFonts w:ascii="Lato" w:hAnsi="Lato" w:cs="Arial"/>
          <w:iCs/>
          <w:color w:val="auto"/>
          <w:sz w:val="24"/>
          <w:szCs w:val="24"/>
        </w:rPr>
        <w:t>.202</w:t>
      </w:r>
      <w:r w:rsidR="00BE6B71" w:rsidRPr="00096EC8">
        <w:rPr>
          <w:rStyle w:val="Nagwek2Znak"/>
          <w:rFonts w:ascii="Lato" w:hAnsi="Lato" w:cs="Arial"/>
          <w:iCs/>
          <w:color w:val="auto"/>
          <w:sz w:val="24"/>
          <w:szCs w:val="24"/>
        </w:rPr>
        <w:t>6</w:t>
      </w:r>
      <w:r w:rsidRPr="00096EC8">
        <w:rPr>
          <w:rStyle w:val="Nagwek2Znak"/>
          <w:rFonts w:ascii="Lato" w:hAnsi="Lato" w:cs="Arial"/>
          <w:iCs/>
          <w:color w:val="auto"/>
          <w:sz w:val="24"/>
          <w:szCs w:val="24"/>
        </w:rPr>
        <w:t xml:space="preserve"> rok</w:t>
      </w:r>
      <w:r w:rsidRPr="00096EC8">
        <w:rPr>
          <w:rStyle w:val="Nagwek2Znak"/>
          <w:rFonts w:ascii="Lato" w:hAnsi="Lato" w:cs="Arial"/>
          <w:color w:val="auto"/>
          <w:sz w:val="24"/>
          <w:szCs w:val="24"/>
        </w:rPr>
        <w:t>, godzina</w:t>
      </w:r>
      <w:r w:rsidR="00BE6B71" w:rsidRPr="00096EC8">
        <w:rPr>
          <w:rStyle w:val="Nagwek2Znak"/>
          <w:rFonts w:ascii="Lato" w:hAnsi="Lato" w:cs="Arial"/>
          <w:color w:val="auto"/>
          <w:sz w:val="24"/>
          <w:szCs w:val="24"/>
        </w:rPr>
        <w:t xml:space="preserve"> 13</w:t>
      </w:r>
      <w:r w:rsidRPr="00096EC8">
        <w:rPr>
          <w:rStyle w:val="Nagwek2Znak"/>
          <w:rFonts w:ascii="Lato" w:hAnsi="Lato" w:cs="Arial"/>
          <w:color w:val="auto"/>
          <w:sz w:val="24"/>
          <w:szCs w:val="24"/>
          <w:vertAlign w:val="superscript"/>
        </w:rPr>
        <w:t>00</w:t>
      </w:r>
    </w:p>
    <w:p w14:paraId="6BC2F824" w14:textId="0FEE1523" w:rsidR="0067340C" w:rsidRPr="00096EC8" w:rsidRDefault="0067340C" w:rsidP="00C62972">
      <w:pPr>
        <w:ind w:left="1418" w:hanging="1418"/>
        <w:rPr>
          <w:rFonts w:ascii="Lato" w:hAnsi="Lato" w:cs="Arial"/>
          <w:b/>
          <w:bCs/>
        </w:rPr>
      </w:pPr>
      <w:r w:rsidRPr="00096EC8">
        <w:rPr>
          <w:rStyle w:val="Nagwek2Znak"/>
          <w:rFonts w:ascii="Lato" w:hAnsi="Lato" w:cs="Arial"/>
          <w:b/>
          <w:bCs/>
          <w:color w:val="auto"/>
          <w:sz w:val="24"/>
          <w:szCs w:val="24"/>
        </w:rPr>
        <w:t>Miejsce</w:t>
      </w:r>
      <w:r w:rsidRPr="00096EC8">
        <w:rPr>
          <w:rStyle w:val="Nagwek2Znak"/>
          <w:rFonts w:ascii="Lato" w:hAnsi="Lato" w:cs="Arial"/>
          <w:b/>
          <w:bCs/>
          <w:color w:val="auto"/>
          <w:sz w:val="24"/>
          <w:szCs w:val="24"/>
        </w:rPr>
        <w:tab/>
      </w:r>
      <w:r w:rsidRPr="00096EC8">
        <w:rPr>
          <w:rFonts w:ascii="Lato" w:hAnsi="Lato" w:cs="Arial"/>
        </w:rPr>
        <w:t xml:space="preserve">siedziba Urzędu Skarbowego w Malborku; ulica Kopernika 10, pokój </w:t>
      </w:r>
      <w:r w:rsidR="00F707CD" w:rsidRPr="00096EC8">
        <w:rPr>
          <w:rFonts w:ascii="Lato" w:hAnsi="Lato" w:cs="Arial"/>
        </w:rPr>
        <w:t>105</w:t>
      </w:r>
    </w:p>
    <w:p w14:paraId="31B68021" w14:textId="699CEB45" w:rsidR="0067340C" w:rsidRPr="00096EC8" w:rsidRDefault="0067340C" w:rsidP="00C62972">
      <w:pPr>
        <w:pStyle w:val="Tekstpodstawowy"/>
        <w:spacing w:after="0"/>
        <w:rPr>
          <w:rFonts w:ascii="Lato" w:eastAsiaTheme="majorEastAsia" w:hAnsi="Lato" w:cs="Arial"/>
        </w:rPr>
      </w:pPr>
      <w:r w:rsidRPr="00096EC8">
        <w:rPr>
          <w:rFonts w:ascii="Lato" w:hAnsi="Lato" w:cs="Arial"/>
          <w:b/>
          <w:bCs/>
        </w:rPr>
        <w:t xml:space="preserve">Wartość szacunkowa       </w:t>
      </w:r>
      <w:r w:rsidR="00BE6B71" w:rsidRPr="00096EC8">
        <w:rPr>
          <w:rFonts w:ascii="Lato" w:hAnsi="Lato" w:cs="Arial"/>
        </w:rPr>
        <w:t>172</w:t>
      </w:r>
      <w:r w:rsidR="00A11553" w:rsidRPr="00096EC8">
        <w:rPr>
          <w:rFonts w:ascii="Lato" w:hAnsi="Lato" w:cs="Arial"/>
        </w:rPr>
        <w:t xml:space="preserve">.000,00 </w:t>
      </w:r>
      <w:r w:rsidRPr="00096EC8">
        <w:rPr>
          <w:rFonts w:ascii="Lato" w:hAnsi="Lato" w:cs="Arial"/>
        </w:rPr>
        <w:t>zł</w:t>
      </w:r>
    </w:p>
    <w:p w14:paraId="415E3FFD" w14:textId="4C626C87" w:rsidR="0067340C" w:rsidRPr="00096EC8" w:rsidRDefault="0067340C" w:rsidP="00C62972">
      <w:pPr>
        <w:pStyle w:val="Tekstpodstawowy"/>
        <w:spacing w:after="0"/>
        <w:rPr>
          <w:rFonts w:ascii="Lato" w:eastAsiaTheme="majorEastAsia" w:hAnsi="Lato" w:cs="Arial"/>
          <w:b/>
          <w:bCs/>
        </w:rPr>
      </w:pPr>
      <w:r w:rsidRPr="00096EC8">
        <w:rPr>
          <w:rStyle w:val="Nagwek2Znak"/>
          <w:rFonts w:ascii="Lato" w:hAnsi="Lato" w:cs="Arial"/>
          <w:b/>
          <w:bCs/>
          <w:color w:val="auto"/>
          <w:sz w:val="24"/>
          <w:szCs w:val="24"/>
        </w:rPr>
        <w:lastRenderedPageBreak/>
        <w:t xml:space="preserve">Cena wywołania      </w:t>
      </w:r>
      <w:r w:rsidR="00BE6B71" w:rsidRPr="00096EC8">
        <w:rPr>
          <w:rStyle w:val="Nagwek2Znak"/>
          <w:rFonts w:ascii="Lato" w:hAnsi="Lato" w:cs="Arial"/>
          <w:color w:val="auto"/>
          <w:sz w:val="24"/>
          <w:szCs w:val="24"/>
        </w:rPr>
        <w:t>129</w:t>
      </w:r>
      <w:r w:rsidR="00A11553" w:rsidRPr="00096EC8">
        <w:rPr>
          <w:rStyle w:val="Nagwek2Znak"/>
          <w:rFonts w:ascii="Lato" w:hAnsi="Lato" w:cs="Arial"/>
          <w:color w:val="auto"/>
          <w:sz w:val="24"/>
          <w:szCs w:val="24"/>
        </w:rPr>
        <w:t>.000,00</w:t>
      </w:r>
      <w:r w:rsidRPr="00096EC8">
        <w:rPr>
          <w:rFonts w:ascii="Lato" w:eastAsiaTheme="majorEastAsia" w:hAnsi="Lato" w:cs="Arial"/>
        </w:rPr>
        <w:t xml:space="preserve"> zł</w:t>
      </w:r>
      <w:r w:rsidRPr="00096EC8">
        <w:rPr>
          <w:rFonts w:ascii="Lato" w:eastAsiaTheme="majorEastAsia" w:hAnsi="Lato" w:cs="Arial"/>
          <w:b/>
          <w:bCs/>
        </w:rPr>
        <w:t xml:space="preserve"> </w:t>
      </w:r>
    </w:p>
    <w:p w14:paraId="57C9AA1F" w14:textId="416AC121" w:rsidR="0067340C" w:rsidRPr="00096EC8" w:rsidRDefault="0067340C" w:rsidP="00C62972">
      <w:pPr>
        <w:pStyle w:val="Tekstpodstawowy"/>
        <w:spacing w:after="0"/>
        <w:rPr>
          <w:rFonts w:ascii="Lato" w:eastAsiaTheme="majorEastAsia" w:hAnsi="Lato" w:cs="Arial"/>
          <w:b/>
          <w:bCs/>
        </w:rPr>
      </w:pPr>
      <w:r w:rsidRPr="00096EC8">
        <w:rPr>
          <w:rStyle w:val="Nagwek2Znak"/>
          <w:rFonts w:ascii="Lato" w:hAnsi="Lato" w:cs="Arial"/>
          <w:b/>
          <w:bCs/>
          <w:color w:val="auto"/>
          <w:sz w:val="24"/>
          <w:szCs w:val="24"/>
        </w:rPr>
        <w:t>Wadium</w:t>
      </w:r>
      <w:r w:rsidRPr="00096EC8">
        <w:rPr>
          <w:rStyle w:val="Nagwek2Znak"/>
          <w:rFonts w:ascii="Lato" w:hAnsi="Lato" w:cs="Arial"/>
          <w:b/>
          <w:bCs/>
          <w:sz w:val="24"/>
          <w:szCs w:val="24"/>
        </w:rPr>
        <w:tab/>
      </w:r>
      <w:r w:rsidR="00BE6B71" w:rsidRPr="00096EC8">
        <w:rPr>
          <w:rFonts w:ascii="Lato" w:eastAsiaTheme="majorEastAsia" w:hAnsi="Lato" w:cs="Arial"/>
        </w:rPr>
        <w:t>17.2</w:t>
      </w:r>
      <w:r w:rsidR="00A11553" w:rsidRPr="00096EC8">
        <w:rPr>
          <w:rFonts w:ascii="Lato" w:eastAsiaTheme="majorEastAsia" w:hAnsi="Lato" w:cs="Arial"/>
        </w:rPr>
        <w:t xml:space="preserve">00,00 </w:t>
      </w:r>
      <w:r w:rsidRPr="00096EC8">
        <w:rPr>
          <w:rFonts w:ascii="Lato" w:eastAsiaTheme="majorEastAsia" w:hAnsi="Lato" w:cs="Arial"/>
        </w:rPr>
        <w:t>zł</w:t>
      </w:r>
    </w:p>
    <w:p w14:paraId="7A4B976E" w14:textId="77777777" w:rsidR="00FA737B" w:rsidRPr="00096EC8" w:rsidRDefault="00FA737B" w:rsidP="00C62972">
      <w:pPr>
        <w:pStyle w:val="Tekstpodstawowy"/>
        <w:spacing w:after="0"/>
        <w:rPr>
          <w:rFonts w:ascii="Lato" w:eastAsiaTheme="majorEastAsia" w:hAnsi="Lato" w:cs="Arial"/>
          <w:b/>
          <w:bCs/>
          <w:color w:val="1F4E79" w:themeColor="accent5" w:themeShade="80"/>
        </w:rPr>
      </w:pPr>
    </w:p>
    <w:p w14:paraId="6E903F9A" w14:textId="77777777" w:rsidR="0067340C" w:rsidRPr="00096EC8" w:rsidRDefault="0067340C" w:rsidP="00C62972">
      <w:pPr>
        <w:pStyle w:val="Standard"/>
        <w:spacing w:after="0" w:line="240" w:lineRule="auto"/>
        <w:rPr>
          <w:rFonts w:ascii="Lato" w:hAnsi="Lato" w:cs="Arial"/>
          <w:bCs/>
          <w:sz w:val="24"/>
          <w:szCs w:val="24"/>
        </w:rPr>
      </w:pPr>
      <w:r w:rsidRPr="00096EC8">
        <w:rPr>
          <w:rFonts w:ascii="Lato" w:hAnsi="Lato" w:cs="Arial"/>
          <w:bCs/>
          <w:sz w:val="24"/>
          <w:szCs w:val="24"/>
        </w:rPr>
        <w:t xml:space="preserve">Warunkiem przystąpienia do licytacji nieruchomości jest wpłata wadium. </w:t>
      </w:r>
      <w:r w:rsidRPr="00096EC8">
        <w:rPr>
          <w:rFonts w:ascii="Lato" w:hAnsi="Lato" w:cs="Arial"/>
          <w:bCs/>
          <w:sz w:val="24"/>
          <w:szCs w:val="24"/>
        </w:rPr>
        <w:tab/>
      </w:r>
      <w:r w:rsidRPr="00096EC8">
        <w:rPr>
          <w:rFonts w:ascii="Lato" w:hAnsi="Lato" w:cs="Arial"/>
          <w:bCs/>
          <w:sz w:val="24"/>
          <w:szCs w:val="24"/>
        </w:rPr>
        <w:tab/>
      </w:r>
    </w:p>
    <w:p w14:paraId="2EE4D6B4" w14:textId="2C98B657" w:rsidR="0067340C" w:rsidRPr="00096EC8" w:rsidRDefault="0067340C" w:rsidP="00C62972">
      <w:pPr>
        <w:pStyle w:val="TekstpismaKAS"/>
        <w:spacing w:before="0" w:line="240" w:lineRule="auto"/>
        <w:rPr>
          <w:rFonts w:ascii="Lato" w:eastAsia="Times New Roman" w:hAnsi="Lato" w:cs="Arial"/>
          <w:lang w:eastAsia="pl-PL"/>
        </w:rPr>
      </w:pPr>
      <w:r w:rsidRPr="00096EC8">
        <w:rPr>
          <w:rFonts w:ascii="Lato" w:eastAsia="Times New Roman" w:hAnsi="Lato" w:cs="Arial"/>
          <w:lang w:eastAsia="pl-PL"/>
        </w:rPr>
        <w:t xml:space="preserve">Wadium proszę </w:t>
      </w:r>
      <w:r w:rsidRPr="00096EC8">
        <w:rPr>
          <w:rFonts w:ascii="Lato" w:hAnsi="Lato" w:cs="Arial"/>
          <w:lang w:eastAsia="pl-PL"/>
        </w:rPr>
        <w:t>wpłacić na rachunek bankowy</w:t>
      </w:r>
      <w:r w:rsidRPr="00096EC8">
        <w:rPr>
          <w:rFonts w:ascii="Lato" w:eastAsia="Times New Roman" w:hAnsi="Lato" w:cs="Arial"/>
          <w:lang w:eastAsia="pl-PL"/>
        </w:rPr>
        <w:t xml:space="preserve"> Naczelnika Urzędu Skarbowego w Malborku nr 21 1010 1140 0023 3613 9120 0000</w:t>
      </w:r>
      <w:r w:rsidRPr="00096EC8">
        <w:rPr>
          <w:rFonts w:ascii="Lato" w:hAnsi="Lato" w:cs="Arial"/>
        </w:rPr>
        <w:t xml:space="preserve"> w NBP O/O Gdańsk</w:t>
      </w:r>
      <w:r w:rsidRPr="00096EC8">
        <w:rPr>
          <w:rFonts w:ascii="Lato" w:eastAsia="Times New Roman" w:hAnsi="Lato" w:cs="Arial"/>
          <w:lang w:eastAsia="pl-PL"/>
        </w:rPr>
        <w:t xml:space="preserve">. W treści przelewu proszę zamieścić: „wadium, </w:t>
      </w:r>
      <w:r w:rsidR="006545AF" w:rsidRPr="00096EC8">
        <w:rPr>
          <w:rFonts w:ascii="Lato" w:eastAsia="Times New Roman" w:hAnsi="Lato" w:cs="Arial"/>
          <w:lang w:eastAsia="pl-PL"/>
        </w:rPr>
        <w:t>numer</w:t>
      </w:r>
      <w:r w:rsidRPr="00096EC8">
        <w:rPr>
          <w:rFonts w:ascii="Lato" w:eastAsia="Times New Roman" w:hAnsi="Lato" w:cs="Arial"/>
          <w:lang w:eastAsia="pl-PL"/>
        </w:rPr>
        <w:t xml:space="preserve"> księgi wieczystej </w:t>
      </w:r>
      <w:r w:rsidR="006545AF" w:rsidRPr="00096EC8">
        <w:rPr>
          <w:rFonts w:ascii="Lato" w:hAnsi="Lato" w:cs="Arial"/>
        </w:rPr>
        <w:t>numer</w:t>
      </w:r>
      <w:r w:rsidR="00473E97" w:rsidRPr="00096EC8">
        <w:rPr>
          <w:rFonts w:ascii="Lato" w:hAnsi="Lato" w:cs="Arial"/>
        </w:rPr>
        <w:t xml:space="preserve"> </w:t>
      </w:r>
      <w:r w:rsidR="00473E97" w:rsidRPr="00096EC8">
        <w:rPr>
          <w:rFonts w:ascii="Lato" w:eastAsiaTheme="majorEastAsia" w:hAnsi="Lato" w:cs="Arial"/>
        </w:rPr>
        <w:t>GD</w:t>
      </w:r>
      <w:r w:rsidR="00B557D1" w:rsidRPr="00096EC8">
        <w:rPr>
          <w:rFonts w:ascii="Lato" w:eastAsiaTheme="majorEastAsia" w:hAnsi="Lato" w:cs="Arial"/>
        </w:rPr>
        <w:t>2I</w:t>
      </w:r>
      <w:r w:rsidR="00473E97" w:rsidRPr="00096EC8">
        <w:rPr>
          <w:rFonts w:ascii="Lato" w:eastAsiaTheme="majorEastAsia" w:hAnsi="Lato" w:cs="Arial"/>
        </w:rPr>
        <w:t>/</w:t>
      </w:r>
      <w:r w:rsidR="00B557D1" w:rsidRPr="00096EC8">
        <w:rPr>
          <w:rFonts w:ascii="Lato" w:eastAsiaTheme="majorEastAsia" w:hAnsi="Lato" w:cs="Arial"/>
        </w:rPr>
        <w:t>00001710</w:t>
      </w:r>
      <w:r w:rsidR="00473E97" w:rsidRPr="00096EC8">
        <w:rPr>
          <w:rFonts w:ascii="Lato" w:eastAsiaTheme="majorEastAsia" w:hAnsi="Lato" w:cs="Arial"/>
        </w:rPr>
        <w:t>/</w:t>
      </w:r>
      <w:r w:rsidR="003F4307" w:rsidRPr="00096EC8">
        <w:rPr>
          <w:rFonts w:ascii="Lato" w:eastAsiaTheme="majorEastAsia" w:hAnsi="Lato" w:cs="Arial"/>
        </w:rPr>
        <w:t>9</w:t>
      </w:r>
      <w:r w:rsidRPr="00096EC8">
        <w:rPr>
          <w:rFonts w:ascii="Lato" w:eastAsiaTheme="majorEastAsia" w:hAnsi="Lato" w:cs="Arial"/>
        </w:rPr>
        <w:t>”.</w:t>
      </w:r>
      <w:r w:rsidRPr="00096EC8">
        <w:rPr>
          <w:rFonts w:ascii="Lato" w:eastAsia="Times New Roman" w:hAnsi="Lato" w:cs="Arial"/>
          <w:lang w:eastAsia="pl-PL"/>
        </w:rPr>
        <w:t xml:space="preserve">  </w:t>
      </w:r>
    </w:p>
    <w:p w14:paraId="1C0D96A1" w14:textId="77777777" w:rsidR="0067340C" w:rsidRPr="00096EC8" w:rsidRDefault="0067340C" w:rsidP="00C62972">
      <w:pPr>
        <w:pStyle w:val="TekstpismaKAS"/>
        <w:spacing w:before="0" w:line="240" w:lineRule="auto"/>
        <w:rPr>
          <w:rFonts w:ascii="Lato" w:hAnsi="Lato" w:cs="Arial"/>
          <w:lang w:eastAsia="pl-PL"/>
        </w:rPr>
      </w:pPr>
      <w:r w:rsidRPr="00096EC8">
        <w:rPr>
          <w:rFonts w:ascii="Lato" w:hAnsi="Lato" w:cs="Arial"/>
          <w:lang w:eastAsia="pl-PL"/>
        </w:rPr>
        <w:t>Wadium uznam za złożone, jeżeli wpłata zostanie uznana na naszym rachunku najpóźniej w dniu poprzedzającym dzień licytacji.</w:t>
      </w:r>
    </w:p>
    <w:p w14:paraId="50584CCB" w14:textId="77777777" w:rsidR="0067340C" w:rsidRPr="00096EC8" w:rsidRDefault="0067340C" w:rsidP="00C62972">
      <w:pPr>
        <w:pStyle w:val="TekstpismaKAS"/>
        <w:spacing w:before="0" w:line="240" w:lineRule="auto"/>
        <w:rPr>
          <w:rFonts w:ascii="Lato" w:hAnsi="Lato" w:cs="Arial"/>
          <w:lang w:eastAsia="zh-CN"/>
        </w:rPr>
      </w:pPr>
      <w:r w:rsidRPr="00096EC8">
        <w:rPr>
          <w:rFonts w:ascii="Lato" w:hAnsi="Lato" w:cs="Arial"/>
          <w:lang w:eastAsia="zh-CN"/>
        </w:rPr>
        <w:t xml:space="preserve">Zatrzymam wadium złożone przez licytanta, któremu udzielimy przybicia. </w:t>
      </w:r>
    </w:p>
    <w:p w14:paraId="6686EB53" w14:textId="77777777" w:rsidR="0067340C" w:rsidRPr="00096EC8" w:rsidRDefault="0067340C" w:rsidP="00C62972">
      <w:pPr>
        <w:pStyle w:val="TekstpismaKAS"/>
        <w:spacing w:before="0" w:line="240" w:lineRule="auto"/>
        <w:rPr>
          <w:rFonts w:ascii="Lato" w:hAnsi="Lato" w:cs="Arial"/>
          <w:lang w:eastAsia="zh-CN"/>
        </w:rPr>
      </w:pPr>
      <w:r w:rsidRPr="00096EC8">
        <w:rPr>
          <w:rFonts w:ascii="Lato" w:hAnsi="Lato" w:cs="Arial"/>
          <w:lang w:eastAsia="zh-CN"/>
        </w:rPr>
        <w:t xml:space="preserve">Pozostałym licytantom zwrócę wadium nie później niż w terminie 7 dni roboczych od dnia licytacji. </w:t>
      </w:r>
    </w:p>
    <w:p w14:paraId="60FEB85A" w14:textId="77777777" w:rsidR="0067340C" w:rsidRPr="00096EC8" w:rsidRDefault="0067340C" w:rsidP="00D037E3">
      <w:pPr>
        <w:pStyle w:val="Standard"/>
        <w:spacing w:before="120" w:after="0" w:line="240" w:lineRule="auto"/>
        <w:rPr>
          <w:rFonts w:ascii="Lato" w:hAnsi="Lato" w:cs="Arial"/>
          <w:b/>
          <w:bCs/>
          <w:sz w:val="24"/>
          <w:szCs w:val="24"/>
        </w:rPr>
      </w:pPr>
      <w:r w:rsidRPr="00096EC8">
        <w:rPr>
          <w:rFonts w:ascii="Lato" w:hAnsi="Lato" w:cs="Arial"/>
          <w:b/>
          <w:bCs/>
          <w:sz w:val="24"/>
          <w:szCs w:val="24"/>
        </w:rPr>
        <w:t>Termin i miejsce oglądania nieruchomości</w:t>
      </w:r>
    </w:p>
    <w:p w14:paraId="26F32F6F" w14:textId="267DB6A0" w:rsidR="0067340C" w:rsidRPr="00096EC8" w:rsidRDefault="0067340C" w:rsidP="00C62972">
      <w:pPr>
        <w:pStyle w:val="TekstpismaKAS"/>
        <w:spacing w:before="0" w:line="240" w:lineRule="auto"/>
        <w:rPr>
          <w:rFonts w:ascii="Lato" w:hAnsi="Lato" w:cs="Arial"/>
        </w:rPr>
      </w:pPr>
      <w:r w:rsidRPr="00096EC8">
        <w:rPr>
          <w:rFonts w:ascii="Lato" w:hAnsi="Lato" w:cs="Arial"/>
        </w:rPr>
        <w:t xml:space="preserve">Nieruchomość można oglądać w terminie 14 dni przed dniem licytacji, w dni powszednie od godziny 10:00 do godziny 13:00, po wcześniejszym uzgodnieniu z organem egzekucyjnym. W tym też terminie – po wcześniejszym uzgodnieniu telefonicznym pod numerem 55 270 22 </w:t>
      </w:r>
      <w:r w:rsidR="00D924A3" w:rsidRPr="00096EC8">
        <w:rPr>
          <w:rFonts w:ascii="Lato" w:hAnsi="Lato" w:cs="Arial"/>
        </w:rPr>
        <w:t>63</w:t>
      </w:r>
      <w:r w:rsidRPr="00096EC8">
        <w:rPr>
          <w:rFonts w:ascii="Lato" w:hAnsi="Lato" w:cs="Arial"/>
        </w:rPr>
        <w:t xml:space="preserve"> – w Urzędzie Skarbowym w Malborku, pokój </w:t>
      </w:r>
      <w:r w:rsidR="002D7B6D" w:rsidRPr="00096EC8">
        <w:rPr>
          <w:rFonts w:ascii="Lato" w:hAnsi="Lato" w:cs="Arial"/>
        </w:rPr>
        <w:t>105</w:t>
      </w:r>
      <w:r w:rsidRPr="00096EC8">
        <w:rPr>
          <w:rFonts w:ascii="Lato" w:hAnsi="Lato" w:cs="Arial"/>
        </w:rPr>
        <w:t>, można przeglądać akta postępowania egzekucyjnego (protokół opisu i oszacowania nieruchomości, operat szacunkowy).</w:t>
      </w:r>
    </w:p>
    <w:p w14:paraId="72F90B59" w14:textId="254F3504" w:rsidR="00F457C8" w:rsidRPr="00096EC8" w:rsidRDefault="0067340C" w:rsidP="00D037E3">
      <w:pPr>
        <w:pStyle w:val="Standard"/>
        <w:spacing w:before="120" w:after="0" w:line="240" w:lineRule="auto"/>
        <w:rPr>
          <w:rFonts w:ascii="Lato" w:hAnsi="Lato" w:cs="Arial"/>
          <w:b/>
          <w:bCs/>
          <w:sz w:val="24"/>
          <w:szCs w:val="24"/>
        </w:rPr>
      </w:pPr>
      <w:r w:rsidRPr="00096EC8">
        <w:rPr>
          <w:rFonts w:ascii="Lato" w:hAnsi="Lato" w:cs="Arial"/>
          <w:b/>
          <w:bCs/>
          <w:sz w:val="24"/>
          <w:szCs w:val="24"/>
        </w:rPr>
        <w:t>Pozostałe informacje</w:t>
      </w:r>
    </w:p>
    <w:p w14:paraId="6AB1A41B" w14:textId="77777777" w:rsidR="00650D31" w:rsidRPr="00096EC8" w:rsidRDefault="00650D31" w:rsidP="00D037E3">
      <w:pPr>
        <w:pStyle w:val="Standard"/>
        <w:spacing w:before="120" w:after="0" w:line="240" w:lineRule="auto"/>
        <w:rPr>
          <w:rFonts w:ascii="Lato" w:hAnsi="Lato" w:cs="Arial"/>
          <w:b/>
          <w:bCs/>
          <w:sz w:val="24"/>
          <w:szCs w:val="24"/>
        </w:rPr>
      </w:pPr>
    </w:p>
    <w:p w14:paraId="50BF5B8D" w14:textId="140E2710" w:rsidR="00F457C8" w:rsidRPr="00096EC8" w:rsidRDefault="00F457C8" w:rsidP="00C62972">
      <w:pPr>
        <w:pStyle w:val="Standard"/>
        <w:spacing w:after="0" w:line="240" w:lineRule="auto"/>
        <w:rPr>
          <w:rFonts w:ascii="Lato" w:hAnsi="Lato" w:cs="Arial"/>
          <w:sz w:val="24"/>
          <w:szCs w:val="24"/>
        </w:rPr>
      </w:pPr>
      <w:r w:rsidRPr="00096EC8">
        <w:rPr>
          <w:rFonts w:ascii="Lato" w:hAnsi="Lato" w:cs="Arial"/>
          <w:sz w:val="24"/>
          <w:szCs w:val="24"/>
        </w:rPr>
        <w:t>Sprzedaż nie jest opodatkowana podatkiem od towarów i usług, ani podatkiem od czynności cywilnoprawnych.</w:t>
      </w:r>
    </w:p>
    <w:p w14:paraId="03C6EEB7" w14:textId="4285B650" w:rsidR="0067340C" w:rsidRPr="00096EC8" w:rsidRDefault="0067340C" w:rsidP="00C62972">
      <w:pPr>
        <w:pStyle w:val="Standard"/>
        <w:spacing w:after="0" w:line="240" w:lineRule="auto"/>
        <w:rPr>
          <w:rFonts w:ascii="Lato" w:hAnsi="Lato" w:cs="Arial"/>
          <w:sz w:val="24"/>
          <w:szCs w:val="24"/>
        </w:rPr>
      </w:pPr>
      <w:r w:rsidRPr="00096EC8">
        <w:rPr>
          <w:rFonts w:ascii="Lato" w:hAnsi="Lato" w:cs="Arial"/>
          <w:sz w:val="24"/>
          <w:szCs w:val="24"/>
        </w:rPr>
        <w:t>Prawa osób trzecich nie będą przeszkodą do licytacji i przyznania nabywcy własności nieruchomości bez zastrzeżeń, jeżeli osoby te nie wystąpiły wcześniej o wyłączenie nieruchomości lub jej przynależności spod egzekucji.</w:t>
      </w:r>
    </w:p>
    <w:p w14:paraId="12318F8E" w14:textId="77777777" w:rsidR="00F93170" w:rsidRPr="00096EC8" w:rsidRDefault="0067340C" w:rsidP="00F93170">
      <w:pPr>
        <w:pStyle w:val="Standard"/>
        <w:spacing w:after="0" w:line="240" w:lineRule="auto"/>
        <w:rPr>
          <w:rFonts w:ascii="Lato" w:hAnsi="Lato" w:cs="Arial"/>
          <w:sz w:val="24"/>
          <w:szCs w:val="24"/>
        </w:rPr>
      </w:pPr>
      <w:r w:rsidRPr="00096EC8">
        <w:rPr>
          <w:rFonts w:ascii="Lato" w:hAnsi="Lato" w:cs="Arial"/>
          <w:sz w:val="24"/>
          <w:szCs w:val="24"/>
        </w:rPr>
        <w:t>Użytkowanie, służebności i prawa dożywotnika, jeżeli nie są ujawnione w księdze wieczystej lub przez złożenie dokumentu do zbioru dokumentów i nie zostaną zgłoszone najpóźniej na 3 dni przed rozpoczęciem licytacji, nie będą uwzględnione w dalszym toku egzekucji i wygasną z chwilą, w której postanowienie o przyznaniu własności stanie się ostateczne.</w:t>
      </w:r>
    </w:p>
    <w:p w14:paraId="2441695C" w14:textId="7A57B7C2" w:rsidR="00F93170" w:rsidRPr="00096EC8" w:rsidRDefault="00F93170" w:rsidP="00F93170">
      <w:pPr>
        <w:pStyle w:val="Standard"/>
        <w:spacing w:after="0" w:line="240" w:lineRule="auto"/>
        <w:rPr>
          <w:rFonts w:ascii="Lato" w:hAnsi="Lato"/>
          <w:sz w:val="24"/>
          <w:szCs w:val="24"/>
        </w:rPr>
      </w:pPr>
      <w:r w:rsidRPr="00096EC8">
        <w:rPr>
          <w:rFonts w:ascii="Lato" w:hAnsi="Lato"/>
          <w:sz w:val="24"/>
          <w:szCs w:val="24"/>
        </w:rPr>
        <w:t>Jeżeli nabycie nieruchomości rolnej następuje w wyniku orzeczenia organu egzekucyjnego wydanego na podstawie przepisów o postępowaniu egzekucyjnym, Krajowy Ośrodek Wsparcia Rolnictwa, działający na rzecz Skarbu Państwa może złożyć oświadczenie o nabyciu tej nieruchomości za zapłatą ceny tej nieruchomości (art. 4 ust. 1 pkt 3 ustawy o kształtowaniu ustroju rolnego). Przypadki wyłączenia tego uprawnienia zostały określone w art. 4 ust. 4 tej ustawy.</w:t>
      </w:r>
    </w:p>
    <w:p w14:paraId="2D87E57B" w14:textId="77777777" w:rsidR="0067340C" w:rsidRPr="00096EC8" w:rsidRDefault="0067340C" w:rsidP="00C62972">
      <w:pPr>
        <w:pStyle w:val="Standard"/>
        <w:spacing w:after="0" w:line="240" w:lineRule="auto"/>
        <w:rPr>
          <w:rFonts w:ascii="Lato" w:hAnsi="Lato" w:cs="Arial"/>
          <w:sz w:val="24"/>
          <w:szCs w:val="24"/>
        </w:rPr>
      </w:pPr>
      <w:r w:rsidRPr="00096EC8">
        <w:rPr>
          <w:rFonts w:ascii="Lato" w:hAnsi="Lato" w:cs="Arial"/>
          <w:sz w:val="24"/>
          <w:szCs w:val="24"/>
        </w:rPr>
        <w:t>W licytacji nie mogą uczestniczyć osoby, o których mowa w art. 111d § 1 ustawy o postępowaniu egzekucyjnym w administracji.</w:t>
      </w:r>
    </w:p>
    <w:p w14:paraId="517B77B9" w14:textId="77777777" w:rsidR="0067340C" w:rsidRPr="00096EC8" w:rsidRDefault="0067340C" w:rsidP="00C62972">
      <w:pPr>
        <w:pStyle w:val="Standard"/>
        <w:spacing w:after="0" w:line="240" w:lineRule="auto"/>
        <w:rPr>
          <w:rFonts w:ascii="Lato" w:hAnsi="Lato" w:cs="Arial"/>
          <w:sz w:val="24"/>
          <w:szCs w:val="24"/>
        </w:rPr>
      </w:pPr>
      <w:r w:rsidRPr="00096EC8">
        <w:rPr>
          <w:rFonts w:ascii="Lato" w:hAnsi="Lato" w:cs="Arial"/>
          <w:sz w:val="24"/>
          <w:szCs w:val="24"/>
        </w:rPr>
        <w:t>Licytacja może zostać odwołana bez podania przyczyn.</w:t>
      </w:r>
    </w:p>
    <w:p w14:paraId="08ACDE76" w14:textId="77777777" w:rsidR="0067340C" w:rsidRPr="00096EC8" w:rsidRDefault="0067340C" w:rsidP="00C62972">
      <w:pPr>
        <w:pStyle w:val="Standard"/>
        <w:spacing w:after="0" w:line="240" w:lineRule="auto"/>
        <w:rPr>
          <w:rFonts w:ascii="Lato" w:hAnsi="Lato" w:cs="Arial"/>
          <w:sz w:val="24"/>
          <w:szCs w:val="24"/>
        </w:rPr>
      </w:pPr>
      <w:r w:rsidRPr="00096EC8">
        <w:rPr>
          <w:rFonts w:ascii="Lato" w:hAnsi="Lato" w:cs="Arial"/>
          <w:sz w:val="24"/>
          <w:szCs w:val="24"/>
        </w:rPr>
        <w:t>Na czynności organu egzekucyjnego dotyczące obwieszczenia o licytacji przysługuje skarga. Skargę można wnieść do organu egzekucyjnego w terminie 14 dni od dnia ogłoszenia o licytacji.</w:t>
      </w:r>
    </w:p>
    <w:p w14:paraId="6ADEF7B5" w14:textId="77777777" w:rsidR="0067340C" w:rsidRPr="00096EC8" w:rsidRDefault="0067340C" w:rsidP="00C62972">
      <w:pPr>
        <w:pStyle w:val="Standard"/>
        <w:spacing w:after="0" w:line="240" w:lineRule="auto"/>
        <w:rPr>
          <w:rFonts w:ascii="Lato" w:hAnsi="Lato" w:cs="Arial"/>
          <w:bCs/>
          <w:sz w:val="24"/>
          <w:szCs w:val="24"/>
        </w:rPr>
      </w:pPr>
      <w:r w:rsidRPr="00096EC8">
        <w:rPr>
          <w:rFonts w:ascii="Lato" w:hAnsi="Lato" w:cs="Arial"/>
          <w:bCs/>
          <w:sz w:val="24"/>
          <w:szCs w:val="24"/>
        </w:rPr>
        <w:t>Szczegółowe informacje można uzyskać w Dziale</w:t>
      </w:r>
      <w:r w:rsidRPr="00096EC8">
        <w:rPr>
          <w:rFonts w:ascii="Lato" w:hAnsi="Lato" w:cs="Arial"/>
          <w:bCs/>
          <w:color w:val="002060"/>
          <w:sz w:val="24"/>
          <w:szCs w:val="24"/>
        </w:rPr>
        <w:t xml:space="preserve"> </w:t>
      </w:r>
      <w:r w:rsidRPr="00096EC8">
        <w:rPr>
          <w:rFonts w:ascii="Lato" w:hAnsi="Lato" w:cs="Arial"/>
          <w:bCs/>
          <w:sz w:val="24"/>
          <w:szCs w:val="24"/>
        </w:rPr>
        <w:t>Egzekucji Administracyjnej:</w:t>
      </w:r>
    </w:p>
    <w:p w14:paraId="06D1C65B" w14:textId="2220098C" w:rsidR="0067340C" w:rsidRPr="00096EC8" w:rsidRDefault="0067340C" w:rsidP="00C62972">
      <w:pPr>
        <w:pStyle w:val="TekstpismaKAS"/>
        <w:spacing w:before="0" w:line="240" w:lineRule="auto"/>
        <w:rPr>
          <w:rFonts w:ascii="Lato" w:hAnsi="Lato" w:cs="Arial"/>
          <w:color w:val="2F5496" w:themeColor="accent1" w:themeShade="BF"/>
        </w:rPr>
      </w:pPr>
      <w:r w:rsidRPr="00096EC8">
        <w:rPr>
          <w:rFonts w:ascii="Lato" w:hAnsi="Lato" w:cs="Arial"/>
        </w:rPr>
        <w:t xml:space="preserve">telefonicznie – pod numerem </w:t>
      </w:r>
      <w:r w:rsidRPr="00096EC8">
        <w:rPr>
          <w:rFonts w:ascii="Lato" w:hAnsi="Lato" w:cs="Arial"/>
          <w:bCs/>
        </w:rPr>
        <w:t xml:space="preserve">telefonu: </w:t>
      </w:r>
      <w:r w:rsidRPr="00096EC8">
        <w:rPr>
          <w:rFonts w:ascii="Lato" w:hAnsi="Lato" w:cs="Arial"/>
        </w:rPr>
        <w:t xml:space="preserve">55 270 22 </w:t>
      </w:r>
      <w:r w:rsidR="00B83CC5" w:rsidRPr="00096EC8">
        <w:rPr>
          <w:rFonts w:ascii="Lato" w:hAnsi="Lato" w:cs="Arial"/>
        </w:rPr>
        <w:t>63</w:t>
      </w:r>
    </w:p>
    <w:p w14:paraId="4F67984E" w14:textId="4685FBFB" w:rsidR="0067340C" w:rsidRPr="00096EC8" w:rsidRDefault="0067340C" w:rsidP="00C62972">
      <w:pPr>
        <w:pStyle w:val="TekstpismaKAS"/>
        <w:spacing w:before="0" w:line="240" w:lineRule="auto"/>
        <w:rPr>
          <w:rFonts w:ascii="Lato" w:hAnsi="Lato" w:cs="Arial"/>
        </w:rPr>
      </w:pPr>
      <w:r w:rsidRPr="00096EC8">
        <w:rPr>
          <w:rFonts w:ascii="Lato" w:hAnsi="Lato" w:cs="Arial"/>
        </w:rPr>
        <w:t>elektronicznie – napisz na adres:</w:t>
      </w:r>
      <w:r w:rsidR="00366108" w:rsidRPr="00096EC8">
        <w:rPr>
          <w:rFonts w:ascii="Lato" w:hAnsi="Lato" w:cs="Arial"/>
        </w:rPr>
        <w:t xml:space="preserve"> </w:t>
      </w:r>
      <w:r w:rsidR="00B83CC5" w:rsidRPr="00096EC8">
        <w:rPr>
          <w:rFonts w:ascii="Lato" w:hAnsi="Lato" w:cs="Arial"/>
        </w:rPr>
        <w:t>anetta</w:t>
      </w:r>
      <w:r w:rsidRPr="00096EC8">
        <w:rPr>
          <w:rFonts w:ascii="Lato" w:hAnsi="Lato" w:cs="Arial"/>
        </w:rPr>
        <w:t>.</w:t>
      </w:r>
      <w:r w:rsidR="00B83CC5" w:rsidRPr="00096EC8">
        <w:rPr>
          <w:rFonts w:ascii="Lato" w:hAnsi="Lato" w:cs="Arial"/>
        </w:rPr>
        <w:t>rugala</w:t>
      </w:r>
      <w:r w:rsidRPr="00096EC8">
        <w:rPr>
          <w:rFonts w:ascii="Lato" w:hAnsi="Lato" w:cs="Arial"/>
        </w:rPr>
        <w:t>@mf.gov.pl</w:t>
      </w:r>
    </w:p>
    <w:p w14:paraId="544AC2A0" w14:textId="77777777" w:rsidR="0067340C" w:rsidRPr="00096EC8" w:rsidRDefault="0067340C" w:rsidP="00C62972">
      <w:pPr>
        <w:pStyle w:val="Standard"/>
        <w:spacing w:after="0" w:line="240" w:lineRule="auto"/>
        <w:rPr>
          <w:rFonts w:ascii="Lato" w:hAnsi="Lato" w:cs="Arial"/>
          <w:sz w:val="24"/>
          <w:szCs w:val="24"/>
        </w:rPr>
      </w:pPr>
      <w:r w:rsidRPr="00096EC8">
        <w:rPr>
          <w:rFonts w:ascii="Lato" w:hAnsi="Lato" w:cs="Arial"/>
          <w:bCs/>
          <w:sz w:val="24"/>
          <w:szCs w:val="24"/>
        </w:rPr>
        <w:t>oraz na stronie:</w:t>
      </w:r>
      <w:r w:rsidRPr="00096EC8">
        <w:rPr>
          <w:rFonts w:ascii="Lato" w:hAnsi="Lato" w:cs="Arial"/>
          <w:sz w:val="24"/>
          <w:szCs w:val="24"/>
        </w:rPr>
        <w:t xml:space="preserve"> </w:t>
      </w:r>
      <w:hyperlink r:id="rId7" w:history="1">
        <w:r w:rsidRPr="00096EC8">
          <w:rPr>
            <w:rStyle w:val="Hipercze"/>
            <w:rFonts w:ascii="Lato" w:hAnsi="Lato" w:cs="Arial"/>
            <w:bCs/>
            <w:sz w:val="24"/>
            <w:szCs w:val="24"/>
          </w:rPr>
          <w:t>https://www.pomorskie.kas.gov.pl/urzad-skarbowy-w-malborku</w:t>
        </w:r>
      </w:hyperlink>
      <w:r w:rsidRPr="00096EC8">
        <w:rPr>
          <w:rFonts w:ascii="Lato" w:hAnsi="Lato" w:cs="Arial"/>
          <w:bCs/>
          <w:sz w:val="24"/>
          <w:szCs w:val="24"/>
        </w:rPr>
        <w:t>,</w:t>
      </w:r>
      <w:r w:rsidRPr="00096EC8">
        <w:rPr>
          <w:rFonts w:ascii="Lato" w:hAnsi="Lato" w:cs="Arial"/>
          <w:bCs/>
          <w:sz w:val="24"/>
          <w:szCs w:val="24"/>
        </w:rPr>
        <w:br/>
        <w:t>w zakładce ogłoszenia - obwieszczenia o licytacji.</w:t>
      </w:r>
    </w:p>
    <w:p w14:paraId="5319493E" w14:textId="77777777" w:rsidR="0067340C" w:rsidRPr="00096EC8" w:rsidRDefault="0067340C" w:rsidP="00D037E3">
      <w:pPr>
        <w:pStyle w:val="rdtytuKAS"/>
        <w:rPr>
          <w:rFonts w:ascii="Lato" w:hAnsi="Lato" w:cs="Arial"/>
          <w:color w:val="auto"/>
          <w:lang w:eastAsia="pl-PL"/>
        </w:rPr>
      </w:pPr>
      <w:r w:rsidRPr="00096EC8">
        <w:rPr>
          <w:rFonts w:ascii="Lato" w:hAnsi="Lato" w:cs="Arial"/>
          <w:color w:val="auto"/>
          <w:lang w:eastAsia="pl-PL"/>
        </w:rPr>
        <w:lastRenderedPageBreak/>
        <w:t xml:space="preserve">Przepisy prawa: </w:t>
      </w:r>
    </w:p>
    <w:p w14:paraId="0C1BB68E" w14:textId="1E9137DC" w:rsidR="0067340C" w:rsidRPr="00096EC8" w:rsidRDefault="0067340C" w:rsidP="00C62972">
      <w:pPr>
        <w:pStyle w:val="TekstpismaKAS"/>
        <w:spacing w:before="0" w:line="240" w:lineRule="auto"/>
        <w:rPr>
          <w:rFonts w:ascii="Lato" w:hAnsi="Lato" w:cs="Arial"/>
          <w:lang w:eastAsia="pl-PL"/>
        </w:rPr>
      </w:pPr>
      <w:r w:rsidRPr="00096EC8">
        <w:rPr>
          <w:rFonts w:ascii="Lato" w:hAnsi="Lato" w:cs="Arial"/>
        </w:rPr>
        <w:t xml:space="preserve">Art. 110w §1 i § 3, art. 110z, art. 111, art. 111d </w:t>
      </w:r>
      <w:r w:rsidRPr="00096EC8">
        <w:rPr>
          <w:rFonts w:ascii="Lato" w:hAnsi="Lato" w:cs="Arial"/>
          <w:lang w:eastAsia="pl-PL"/>
        </w:rPr>
        <w:t xml:space="preserve">ustawy z dnia 17 czerwca 1966 r. </w:t>
      </w:r>
      <w:r w:rsidRPr="00096EC8">
        <w:rPr>
          <w:rFonts w:ascii="Lato" w:hAnsi="Lato" w:cs="Arial"/>
          <w:lang w:eastAsia="pl-PL"/>
        </w:rPr>
        <w:br/>
        <w:t xml:space="preserve">o postępowaniu egzekucyjnym w administracji (Dz.U. z </w:t>
      </w:r>
      <w:r w:rsidR="00366108" w:rsidRPr="00096EC8">
        <w:rPr>
          <w:rFonts w:ascii="Lato" w:hAnsi="Lato" w:cs="Arial"/>
          <w:lang w:eastAsia="pl-PL"/>
        </w:rPr>
        <w:t>2025</w:t>
      </w:r>
      <w:r w:rsidRPr="00096EC8">
        <w:rPr>
          <w:rFonts w:ascii="Lato" w:hAnsi="Lato" w:cs="Arial"/>
          <w:lang w:eastAsia="pl-PL"/>
        </w:rPr>
        <w:t xml:space="preserve"> r. poz.</w:t>
      </w:r>
      <w:r w:rsidR="00366108" w:rsidRPr="00096EC8">
        <w:rPr>
          <w:rFonts w:ascii="Lato" w:hAnsi="Lato" w:cs="Arial"/>
          <w:lang w:eastAsia="pl-PL"/>
        </w:rPr>
        <w:t>132</w:t>
      </w:r>
      <w:r w:rsidR="00B26D3E" w:rsidRPr="00096EC8">
        <w:rPr>
          <w:rFonts w:ascii="Lato" w:hAnsi="Lato" w:cs="Arial"/>
          <w:lang w:eastAsia="pl-PL"/>
        </w:rPr>
        <w:t xml:space="preserve"> ze zm. </w:t>
      </w:r>
      <w:r w:rsidRPr="00096EC8">
        <w:rPr>
          <w:rFonts w:ascii="Lato" w:hAnsi="Lato" w:cs="Arial"/>
          <w:lang w:eastAsia="pl-PL"/>
        </w:rPr>
        <w:t>).</w:t>
      </w:r>
    </w:p>
    <w:p w14:paraId="348D6695" w14:textId="77777777" w:rsidR="007C1A1B" w:rsidRPr="00096EC8" w:rsidRDefault="007C1A1B" w:rsidP="00D037E3">
      <w:pPr>
        <w:rPr>
          <w:rFonts w:ascii="Lato" w:hAnsi="Lato" w:cs="Arial"/>
        </w:rPr>
      </w:pPr>
    </w:p>
    <w:sectPr w:rsidR="007C1A1B" w:rsidRPr="00096EC8" w:rsidSect="0067340C">
      <w:pgSz w:w="11906" w:h="16838"/>
      <w:pgMar w:top="1134" w:right="1134" w:bottom="1134" w:left="1701" w:header="709" w:footer="709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6EF71" w14:textId="77777777" w:rsidR="00203F8F" w:rsidRDefault="00203F8F" w:rsidP="00696628">
      <w:r>
        <w:separator/>
      </w:r>
    </w:p>
  </w:endnote>
  <w:endnote w:type="continuationSeparator" w:id="0">
    <w:p w14:paraId="32304434" w14:textId="77777777" w:rsidR="00203F8F" w:rsidRDefault="00203F8F" w:rsidP="00696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5B788" w14:textId="77777777" w:rsidR="00203F8F" w:rsidRDefault="00203F8F" w:rsidP="00696628">
      <w:r>
        <w:separator/>
      </w:r>
    </w:p>
  </w:footnote>
  <w:footnote w:type="continuationSeparator" w:id="0">
    <w:p w14:paraId="6FFE6CF9" w14:textId="77777777" w:rsidR="00203F8F" w:rsidRDefault="00203F8F" w:rsidP="006966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C691D"/>
    <w:multiLevelType w:val="multilevel"/>
    <w:tmpl w:val="D9F65AD4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F611442"/>
    <w:multiLevelType w:val="hybridMultilevel"/>
    <w:tmpl w:val="1A6E4D96"/>
    <w:lvl w:ilvl="0" w:tplc="E96213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B75A37"/>
    <w:multiLevelType w:val="hybridMultilevel"/>
    <w:tmpl w:val="801C3262"/>
    <w:lvl w:ilvl="0" w:tplc="5C3C07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BD617AF"/>
    <w:multiLevelType w:val="hybridMultilevel"/>
    <w:tmpl w:val="19C021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8F72DC"/>
    <w:multiLevelType w:val="hybridMultilevel"/>
    <w:tmpl w:val="9036F8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167438"/>
    <w:multiLevelType w:val="multilevel"/>
    <w:tmpl w:val="C60C44C6"/>
    <w:lvl w:ilvl="0">
      <w:numFmt w:val="bullet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7EF"/>
    <w:rsid w:val="00034FE9"/>
    <w:rsid w:val="00043991"/>
    <w:rsid w:val="0004603D"/>
    <w:rsid w:val="0008005F"/>
    <w:rsid w:val="00096EC8"/>
    <w:rsid w:val="000A7239"/>
    <w:rsid w:val="000B397E"/>
    <w:rsid w:val="000C0015"/>
    <w:rsid w:val="000E3E94"/>
    <w:rsid w:val="000E7E4F"/>
    <w:rsid w:val="0017532B"/>
    <w:rsid w:val="001C2443"/>
    <w:rsid w:val="00203F8F"/>
    <w:rsid w:val="002111C3"/>
    <w:rsid w:val="00236036"/>
    <w:rsid w:val="002A5775"/>
    <w:rsid w:val="002C0B63"/>
    <w:rsid w:val="002C4078"/>
    <w:rsid w:val="002D7B6D"/>
    <w:rsid w:val="003066A9"/>
    <w:rsid w:val="00366108"/>
    <w:rsid w:val="003671C1"/>
    <w:rsid w:val="00377E06"/>
    <w:rsid w:val="003B25A0"/>
    <w:rsid w:val="003B38D5"/>
    <w:rsid w:val="003E48F6"/>
    <w:rsid w:val="003F4307"/>
    <w:rsid w:val="00433509"/>
    <w:rsid w:val="00452CFB"/>
    <w:rsid w:val="004561F7"/>
    <w:rsid w:val="0046417C"/>
    <w:rsid w:val="00473E97"/>
    <w:rsid w:val="005015BB"/>
    <w:rsid w:val="005455FE"/>
    <w:rsid w:val="005577C0"/>
    <w:rsid w:val="005C1AC2"/>
    <w:rsid w:val="005D59BE"/>
    <w:rsid w:val="005D78B1"/>
    <w:rsid w:val="005E6339"/>
    <w:rsid w:val="005F589C"/>
    <w:rsid w:val="006057F9"/>
    <w:rsid w:val="00650D31"/>
    <w:rsid w:val="006545AF"/>
    <w:rsid w:val="0067340C"/>
    <w:rsid w:val="00696628"/>
    <w:rsid w:val="006A76AE"/>
    <w:rsid w:val="006D3ECE"/>
    <w:rsid w:val="00741409"/>
    <w:rsid w:val="007443B1"/>
    <w:rsid w:val="00786E6E"/>
    <w:rsid w:val="007909FB"/>
    <w:rsid w:val="007A437B"/>
    <w:rsid w:val="007C1A1B"/>
    <w:rsid w:val="007D67E5"/>
    <w:rsid w:val="0080018B"/>
    <w:rsid w:val="00885EE7"/>
    <w:rsid w:val="00887B0F"/>
    <w:rsid w:val="008A26C2"/>
    <w:rsid w:val="008A5A7C"/>
    <w:rsid w:val="008B3CF4"/>
    <w:rsid w:val="008F15FD"/>
    <w:rsid w:val="00937D18"/>
    <w:rsid w:val="0099289A"/>
    <w:rsid w:val="009A22F0"/>
    <w:rsid w:val="009A4798"/>
    <w:rsid w:val="009A69FA"/>
    <w:rsid w:val="009E4EB1"/>
    <w:rsid w:val="00A05438"/>
    <w:rsid w:val="00A11553"/>
    <w:rsid w:val="00B26D3E"/>
    <w:rsid w:val="00B557D1"/>
    <w:rsid w:val="00B83CC5"/>
    <w:rsid w:val="00BE6B71"/>
    <w:rsid w:val="00C52B48"/>
    <w:rsid w:val="00C62972"/>
    <w:rsid w:val="00C91C9C"/>
    <w:rsid w:val="00D037E3"/>
    <w:rsid w:val="00D255E5"/>
    <w:rsid w:val="00D924A3"/>
    <w:rsid w:val="00DB11F6"/>
    <w:rsid w:val="00DB4C46"/>
    <w:rsid w:val="00DE3C8B"/>
    <w:rsid w:val="00E1769E"/>
    <w:rsid w:val="00E558BE"/>
    <w:rsid w:val="00EA20E3"/>
    <w:rsid w:val="00EB67EF"/>
    <w:rsid w:val="00EB7CB4"/>
    <w:rsid w:val="00F35161"/>
    <w:rsid w:val="00F457C8"/>
    <w:rsid w:val="00F707CD"/>
    <w:rsid w:val="00F710D7"/>
    <w:rsid w:val="00F93170"/>
    <w:rsid w:val="00FA588E"/>
    <w:rsid w:val="00FA737B"/>
    <w:rsid w:val="00FE0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D79E51C"/>
  <w15:docId w15:val="{342A6731-5250-46AC-9607-22FED50C5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0B63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C0B63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D78B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C0B6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6966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6628"/>
    <w:rPr>
      <w:rFonts w:ascii="Cambria" w:eastAsia="Cambria" w:hAnsi="Cambria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966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6628"/>
    <w:rPr>
      <w:rFonts w:ascii="Cambria" w:eastAsia="Cambria" w:hAnsi="Cambria" w:cs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qFormat/>
    <w:rsid w:val="0046417C"/>
    <w:pPr>
      <w:spacing w:before="100" w:beforeAutospacing="1" w:after="142" w:line="288" w:lineRule="auto"/>
    </w:pPr>
    <w:rPr>
      <w:rFonts w:ascii="Times New Roman" w:eastAsia="Times New Roman" w:hAnsi="Times New Roman"/>
      <w:color w:val="00000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417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46417C"/>
    <w:rPr>
      <w:rFonts w:eastAsiaTheme="minorEastAsia"/>
      <w:color w:val="5A5A5A" w:themeColor="text1" w:themeTint="A5"/>
      <w:spacing w:val="15"/>
    </w:rPr>
  </w:style>
  <w:style w:type="paragraph" w:customStyle="1" w:styleId="WW-Domylnie">
    <w:name w:val="WW-Domyślnie"/>
    <w:qFormat/>
    <w:rsid w:val="002A5775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zh-CN" w:bidi="hi-IN"/>
    </w:rPr>
  </w:style>
  <w:style w:type="character" w:customStyle="1" w:styleId="eop">
    <w:name w:val="eop"/>
    <w:basedOn w:val="Domylnaczcionkaakapitu"/>
    <w:qFormat/>
    <w:rsid w:val="000B397E"/>
  </w:style>
  <w:style w:type="character" w:customStyle="1" w:styleId="Nagwek2Znak">
    <w:name w:val="Nagłówek 2 Znak"/>
    <w:basedOn w:val="Domylnaczcionkaakapitu"/>
    <w:link w:val="Nagwek2"/>
    <w:uiPriority w:val="9"/>
    <w:qFormat/>
    <w:rsid w:val="005D78B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TekstpismaKAS">
    <w:name w:val="Tekst pisma KAS"/>
    <w:basedOn w:val="Tekstpodstawowy"/>
    <w:link w:val="TekstpismaKASZnak"/>
    <w:uiPriority w:val="1"/>
    <w:qFormat/>
    <w:rsid w:val="008A5A7C"/>
    <w:pPr>
      <w:widowControl w:val="0"/>
      <w:suppressAutoHyphens/>
      <w:spacing w:before="120" w:after="0" w:line="276" w:lineRule="auto"/>
    </w:pPr>
    <w:rPr>
      <w:rFonts w:eastAsia="Lato" w:cstheme="minorHAnsi"/>
      <w:color w:val="000000" w:themeColor="text1"/>
    </w:rPr>
  </w:style>
  <w:style w:type="paragraph" w:customStyle="1" w:styleId="rdtytuKAS">
    <w:name w:val="Śródtytuł KAS"/>
    <w:basedOn w:val="Nagwek2"/>
    <w:link w:val="rdtytuKASZnak"/>
    <w:qFormat/>
    <w:rsid w:val="008A5A7C"/>
    <w:pPr>
      <w:suppressAutoHyphens/>
      <w:spacing w:before="240" w:line="276" w:lineRule="auto"/>
      <w:contextualSpacing/>
    </w:pPr>
    <w:rPr>
      <w:rFonts w:cstheme="minorHAnsi"/>
      <w:b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uiPriority w:val="1"/>
    <w:qFormat/>
    <w:rsid w:val="008A5A7C"/>
    <w:rPr>
      <w:rFonts w:ascii="Cambria" w:eastAsia="Lato" w:hAnsi="Cambria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8A5A7C"/>
    <w:pPr>
      <w:widowControl w:val="0"/>
      <w:numPr>
        <w:numId w:val="1"/>
      </w:numPr>
      <w:suppressAutoHyphens/>
      <w:spacing w:before="120" w:line="276" w:lineRule="auto"/>
      <w:ind w:left="284" w:hanging="284"/>
    </w:pPr>
    <w:rPr>
      <w:rFonts w:asciiTheme="minorHAnsi" w:eastAsia="Lato" w:hAnsiTheme="minorHAnsi" w:cstheme="minorHAnsi"/>
      <w:color w:val="000000" w:themeColor="text1"/>
      <w:szCs w:val="22"/>
    </w:rPr>
  </w:style>
  <w:style w:type="character" w:customStyle="1" w:styleId="rdtytuKASZnak">
    <w:name w:val="Śródtytuł KAS Znak"/>
    <w:basedOn w:val="Nagwek2Znak"/>
    <w:link w:val="rdtytuKAS"/>
    <w:uiPriority w:val="1"/>
    <w:rsid w:val="008A5A7C"/>
    <w:rPr>
      <w:rFonts w:asciiTheme="majorHAnsi" w:eastAsiaTheme="majorEastAsia" w:hAnsiTheme="majorHAnsi" w:cstheme="minorHAnsi"/>
      <w:b/>
      <w:color w:val="000000" w:themeColor="text1"/>
      <w:sz w:val="24"/>
      <w:szCs w:val="26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8A5A7C"/>
    <w:rPr>
      <w:rFonts w:eastAsia="Lato" w:cstheme="minorHAnsi"/>
      <w:color w:val="000000" w:themeColor="text1"/>
      <w:sz w:val="24"/>
    </w:rPr>
  </w:style>
  <w:style w:type="paragraph" w:customStyle="1" w:styleId="Standard">
    <w:name w:val="Standard"/>
    <w:qFormat/>
    <w:rsid w:val="008A5A7C"/>
    <w:pPr>
      <w:suppressAutoHyphens/>
      <w:overflowPunct w:val="0"/>
      <w:autoSpaceDN w:val="0"/>
      <w:spacing w:line="256" w:lineRule="auto"/>
      <w:textAlignment w:val="baseline"/>
    </w:pPr>
    <w:rPr>
      <w:rFonts w:ascii="Calibri" w:eastAsia="Calibri" w:hAnsi="Calibri" w:cs="Tahom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A5A7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A5A7C"/>
    <w:rPr>
      <w:rFonts w:ascii="Cambria" w:eastAsia="Cambria" w:hAnsi="Cambria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7340C"/>
    <w:rPr>
      <w:color w:val="0563C1" w:themeColor="hyperlink"/>
      <w:u w:val="single"/>
    </w:rPr>
  </w:style>
  <w:style w:type="paragraph" w:customStyle="1" w:styleId="Nagwek11">
    <w:name w:val="Nagłówek 11"/>
    <w:basedOn w:val="Normalny"/>
    <w:next w:val="Normalny"/>
    <w:uiPriority w:val="9"/>
    <w:qFormat/>
    <w:rsid w:val="0067340C"/>
    <w:pPr>
      <w:keepNext/>
      <w:keepLines/>
      <w:suppressAutoHyphens/>
      <w:spacing w:before="960" w:line="259" w:lineRule="auto"/>
      <w:outlineLvl w:val="0"/>
    </w:pPr>
    <w:rPr>
      <w:rFonts w:ascii="Times New Roman" w:eastAsiaTheme="majorEastAsia" w:hAnsi="Times New Roman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omorskie.kas.gov.pl/urzad-skarbowy-w-malbork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834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Wojtysiak Anita</dc:creator>
  <cp:keywords/>
  <dc:description/>
  <cp:lastModifiedBy>Rugała Anetta</cp:lastModifiedBy>
  <cp:revision>15</cp:revision>
  <dcterms:created xsi:type="dcterms:W3CDTF">2026-02-23T12:15:00Z</dcterms:created>
  <dcterms:modified xsi:type="dcterms:W3CDTF">2026-03-02T10:25:00Z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UxC4dwLulzfINJ8nQH+xvX5LNGipWa4BRSZhPgxsCvl10itQMh2xcP/+x5ZHhBMtwEGHfUbHbb582G1cIeu4Ug==</vt:lpwstr>
  </property>
  <property fmtid="{D5CDD505-2E9C-101B-9397-08002B2CF9AE}" pid="4" name="MFClassificationDate">
    <vt:lpwstr>2023-09-22T09:00:32.7376569+02:00</vt:lpwstr>
  </property>
  <property fmtid="{D5CDD505-2E9C-101B-9397-08002B2CF9AE}" pid="5" name="MFClassifiedBySID">
    <vt:lpwstr>UxC4dwLulzfINJ8nQH+xvX5LNGipWa4BRSZhPgxsCvm42mrIC/DSDv0ggS+FjUN/2v1BBotkLlY5aAiEhoi6uZWdS5HXwUOOMYjqoQHPgKKqi370I8mENJ15GCUaD8/e</vt:lpwstr>
  </property>
  <property fmtid="{D5CDD505-2E9C-101B-9397-08002B2CF9AE}" pid="6" name="MFGRNItemId">
    <vt:lpwstr>GRN-3d78d699-450c-48fe-a2cb-2f10ad9d61cb</vt:lpwstr>
  </property>
  <property fmtid="{D5CDD505-2E9C-101B-9397-08002B2CF9AE}" pid="7" name="MFHash">
    <vt:lpwstr>htBNhdG9/JiYTbWndEBBn97/aRcGNKGVZU4XGNX1QhM=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