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EE0C" w14:textId="642D25EB" w:rsidR="0067340C" w:rsidRPr="00396F33" w:rsidRDefault="0067340C" w:rsidP="0067340C">
      <w:pPr>
        <w:pStyle w:val="Nagwek11"/>
        <w:spacing w:before="120" w:line="276" w:lineRule="auto"/>
        <w:rPr>
          <w:rFonts w:ascii="Lato" w:hAnsi="Lato" w:cs="Calibri"/>
          <w:sz w:val="28"/>
          <w:szCs w:val="28"/>
        </w:rPr>
      </w:pPr>
      <w:r w:rsidRPr="00396F33">
        <w:rPr>
          <w:rFonts w:ascii="Lato" w:hAnsi="Lato" w:cs="Calibri"/>
          <w:sz w:val="28"/>
          <w:szCs w:val="28"/>
        </w:rPr>
        <w:t xml:space="preserve">OBWIESZCZENIE O </w:t>
      </w:r>
      <w:r w:rsidR="00990B07">
        <w:rPr>
          <w:rFonts w:ascii="Lato" w:hAnsi="Lato" w:cs="Calibri"/>
          <w:sz w:val="28"/>
          <w:szCs w:val="28"/>
        </w:rPr>
        <w:t>PIERWSZEJ</w:t>
      </w:r>
      <w:r>
        <w:rPr>
          <w:rFonts w:ascii="Lato" w:hAnsi="Lato" w:cs="Calibri"/>
          <w:sz w:val="28"/>
          <w:szCs w:val="28"/>
        </w:rPr>
        <w:t xml:space="preserve"> LICYTACJI NIERUCHOMOŚCI</w:t>
      </w:r>
    </w:p>
    <w:p w14:paraId="63BEB46E" w14:textId="77777777" w:rsidR="00493B3C" w:rsidRPr="00573136" w:rsidRDefault="00493B3C" w:rsidP="00493B3C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7DC8C9A5" w14:textId="77777777" w:rsidR="003E2C9D" w:rsidRPr="005C1EA5" w:rsidRDefault="003E2C9D" w:rsidP="003E2C9D">
      <w:pPr>
        <w:spacing w:before="120" w:line="276" w:lineRule="auto"/>
        <w:jc w:val="both"/>
        <w:rPr>
          <w:rFonts w:ascii="Lato" w:hAnsi="Lato" w:cs="Calibri"/>
        </w:rPr>
      </w:pPr>
      <w:r w:rsidRPr="00DC5294">
        <w:rPr>
          <w:rFonts w:ascii="Lato" w:hAnsi="Lato"/>
          <w:bCs/>
        </w:rPr>
        <w:t>informuję o sprzedaży w drodze licytacji publicznej</w:t>
      </w:r>
      <w:r>
        <w:rPr>
          <w:rFonts w:ascii="Lato" w:hAnsi="Lato"/>
          <w:bCs/>
        </w:rPr>
        <w:t xml:space="preserve"> </w:t>
      </w:r>
      <w:r w:rsidRPr="00DC5294">
        <w:rPr>
          <w:rFonts w:ascii="Lato" w:hAnsi="Lato"/>
          <w:bCs/>
        </w:rPr>
        <w:t>udział</w:t>
      </w:r>
      <w:r>
        <w:rPr>
          <w:rFonts w:ascii="Lato" w:hAnsi="Lato"/>
          <w:bCs/>
        </w:rPr>
        <w:t>u</w:t>
      </w:r>
      <w:r w:rsidRPr="00DC5294">
        <w:rPr>
          <w:rFonts w:ascii="Lato" w:hAnsi="Lato"/>
          <w:bCs/>
        </w:rPr>
        <w:t xml:space="preserve"> </w:t>
      </w:r>
      <w:r w:rsidRPr="00A3555F">
        <w:rPr>
          <w:rFonts w:ascii="Lato" w:hAnsi="Lato"/>
          <w:bCs/>
        </w:rPr>
        <w:t xml:space="preserve">1/2 </w:t>
      </w:r>
      <w:r w:rsidRPr="00DC5294">
        <w:rPr>
          <w:rFonts w:ascii="Lato" w:hAnsi="Lato"/>
          <w:bCs/>
        </w:rPr>
        <w:t xml:space="preserve">w prawie własności   </w:t>
      </w:r>
      <w:r w:rsidRPr="00DC5294">
        <w:rPr>
          <w:rFonts w:ascii="Lato" w:hAnsi="Lato" w:cs="Calibri"/>
        </w:rPr>
        <w:t xml:space="preserve">nieruchomości gruntowej zabudowanej, </w:t>
      </w:r>
      <w:bookmarkStart w:id="0" w:name="_Hlk172722785"/>
      <w:r w:rsidRPr="00DC5294">
        <w:rPr>
          <w:rFonts w:ascii="Lato" w:hAnsi="Lato"/>
        </w:rPr>
        <w:t>położonej w miejscowości Ostaszewo przy ul. Gdańskiej 10, na gruntach działki nr 402/1 o powierzchni 0,3309 ha, dla której Sąd Rejonowy w Malborku IX Zamiejscowy Wydział Ksiąg Wieczystych zs. w Nowym Dworze Gdańskim prowadzi księgę wieczystą nr GD2M/</w:t>
      </w:r>
      <w:bookmarkEnd w:id="0"/>
      <w:r w:rsidRPr="00DC5294">
        <w:rPr>
          <w:rFonts w:ascii="Lato" w:hAnsi="Lato"/>
        </w:rPr>
        <w:t>00046848/6</w:t>
      </w:r>
      <w:r>
        <w:rPr>
          <w:rFonts w:ascii="Lato" w:hAnsi="Lato"/>
        </w:rPr>
        <w:t xml:space="preserve">, należącego do Pana Kamila Buławskiego. </w:t>
      </w:r>
    </w:p>
    <w:p w14:paraId="1AECB328" w14:textId="77777777" w:rsidR="003E2C9D" w:rsidRPr="00DC5294" w:rsidRDefault="003E2C9D" w:rsidP="003E2C9D">
      <w:pPr>
        <w:pStyle w:val="WW-Domylnie"/>
        <w:spacing w:before="120" w:line="276" w:lineRule="auto"/>
        <w:jc w:val="both"/>
        <w:rPr>
          <w:rFonts w:ascii="Lato" w:hAnsi="Lato" w:cstheme="minorBidi"/>
          <w:szCs w:val="24"/>
        </w:rPr>
      </w:pPr>
      <w:r w:rsidRPr="00DC5294">
        <w:rPr>
          <w:rFonts w:ascii="Lato" w:hAnsi="Lato" w:cstheme="minorBidi"/>
          <w:szCs w:val="24"/>
        </w:rPr>
        <w:t xml:space="preserve">Działka nr 402/1 o powierzchni 0,3309 ha oznaczona jest w ewidencji gruntów symbolem: RIVa – grunty orne (pow. 0,1438 ha), S-RII – sad (pow. 0,0002 ha), W-RIVa – grunty pod rowami (pow. 0,0144 ha) i Br-RIVa – grunty rolne zabudowane (pow. 0,1725 ha). </w:t>
      </w:r>
    </w:p>
    <w:p w14:paraId="05A1D4E2" w14:textId="77777777" w:rsidR="003E2C9D" w:rsidRPr="00DC5294" w:rsidRDefault="003E2C9D" w:rsidP="003E2C9D">
      <w:pPr>
        <w:pStyle w:val="WW-Domylnie"/>
        <w:spacing w:before="120" w:line="276" w:lineRule="auto"/>
        <w:jc w:val="both"/>
        <w:rPr>
          <w:rFonts w:ascii="Lato" w:hAnsi="Lato"/>
          <w:szCs w:val="24"/>
        </w:rPr>
      </w:pPr>
      <w:r w:rsidRPr="00DC5294">
        <w:rPr>
          <w:rFonts w:ascii="Lato" w:hAnsi="Lato"/>
          <w:szCs w:val="24"/>
        </w:rPr>
        <w:t xml:space="preserve">Teren działki płaski, ogrodzony, uzbrojony, częściowo urządzony. Dojazd i dojście do nieruchomości odbywa się drogą publiczną o nawierzchni asfaltowej. </w:t>
      </w:r>
    </w:p>
    <w:p w14:paraId="2C70A34A" w14:textId="77777777" w:rsidR="003E2C9D" w:rsidRPr="00DC5294" w:rsidRDefault="003E2C9D" w:rsidP="003E2C9D">
      <w:pPr>
        <w:pStyle w:val="WW-Domylnie"/>
        <w:spacing w:before="120" w:line="276" w:lineRule="auto"/>
        <w:jc w:val="both"/>
        <w:rPr>
          <w:rFonts w:ascii="Lato" w:hAnsi="Lato"/>
          <w:szCs w:val="24"/>
        </w:rPr>
      </w:pPr>
      <w:r w:rsidRPr="00DC5294">
        <w:rPr>
          <w:rFonts w:ascii="Lato" w:hAnsi="Lato"/>
          <w:szCs w:val="24"/>
        </w:rPr>
        <w:t xml:space="preserve">Działka zabudowana jest budynkiem mieszkalnym jednorodzinnym o powierzchni zabudowy użytkowej 173,40 m² oraz dwoma budynkami gospodarczymi, zaadaptowanymi na cele mieszkalne, o łącznej powierzchni użytkowej 66,40 m².  </w:t>
      </w:r>
    </w:p>
    <w:p w14:paraId="783528C5" w14:textId="77777777" w:rsidR="003E2C9D" w:rsidRPr="00DC5294" w:rsidRDefault="003E2C9D" w:rsidP="003E2C9D">
      <w:pPr>
        <w:spacing w:before="120" w:line="276" w:lineRule="auto"/>
        <w:jc w:val="both"/>
        <w:rPr>
          <w:rFonts w:ascii="Lato" w:hAnsi="Lato"/>
        </w:rPr>
      </w:pPr>
      <w:r w:rsidRPr="00DC5294">
        <w:rPr>
          <w:rFonts w:ascii="Lato" w:hAnsi="Lato"/>
        </w:rPr>
        <w:t>Budynek mieszkalny murowany, w zabudowie zwartej, niepodpiwniczony, parterowy z użytkowym poddaszem, pokryty dachem dwuspadowym z blachodachówką, wybudowany w II połowie XX w. Struktura budynku: parter składający się z 4 pokoi (w tym 1 dostępny z zewnątrz), garderoby, kuchni, łazienki z w</w:t>
      </w:r>
      <w:r>
        <w:rPr>
          <w:rFonts w:ascii="Lato" w:hAnsi="Lato"/>
        </w:rPr>
        <w:t>c</w:t>
      </w:r>
      <w:r w:rsidRPr="00DC5294">
        <w:rPr>
          <w:rFonts w:ascii="Lato" w:hAnsi="Lato"/>
        </w:rPr>
        <w:t>, w</w:t>
      </w:r>
      <w:r>
        <w:rPr>
          <w:rFonts w:ascii="Lato" w:hAnsi="Lato"/>
        </w:rPr>
        <w:t>c</w:t>
      </w:r>
      <w:r w:rsidRPr="00DC5294">
        <w:rPr>
          <w:rFonts w:ascii="Lato" w:hAnsi="Lato"/>
        </w:rPr>
        <w:t>, pomieszczenia gospodarczego, kotłowni, holu, korytarza i wiatrołapu oraz poddasze składające się z 4 pokoi, garderoby, łazienki z wc i korytarza. Budynek zaopatrzony w instalację wodną, kanalizację sanitarną, energię elektryczną oraz C.O. z kotłem węglowym. Standard wykończenia – poniżej średniej (do odświeżenia), stan techniczny – średni (korzystny).</w:t>
      </w:r>
    </w:p>
    <w:p w14:paraId="2A69F412" w14:textId="77777777" w:rsidR="003E2C9D" w:rsidRPr="00DC5294" w:rsidRDefault="003E2C9D" w:rsidP="003E2C9D">
      <w:pPr>
        <w:spacing w:before="120" w:line="276" w:lineRule="auto"/>
        <w:jc w:val="both"/>
        <w:rPr>
          <w:rFonts w:ascii="Lato" w:hAnsi="Lato"/>
        </w:rPr>
      </w:pPr>
      <w:r w:rsidRPr="00DC5294">
        <w:rPr>
          <w:rFonts w:ascii="Lato" w:eastAsia="Arial" w:hAnsi="Lato"/>
        </w:rPr>
        <w:t xml:space="preserve">Budynki gospodarcze murowane, w zabudowie zwartej, niepodpiwniczone, parterowe z użytkowym poddaszem, pokryte dachem jedno- i dwuspadowym z blachodachówką., połączone korytarzem w poziomie parteru z budynkiem mieszkalnym. </w:t>
      </w:r>
      <w:r w:rsidRPr="00DC5294">
        <w:rPr>
          <w:rFonts w:ascii="Lato" w:hAnsi="Lato"/>
        </w:rPr>
        <w:t>Struktura budynku: parter składający się z 4 pokoi, kuchni, łazienki z w</w:t>
      </w:r>
      <w:r>
        <w:rPr>
          <w:rFonts w:ascii="Lato" w:hAnsi="Lato"/>
        </w:rPr>
        <w:t>c</w:t>
      </w:r>
      <w:r w:rsidRPr="00DC5294">
        <w:rPr>
          <w:rFonts w:ascii="Lato" w:hAnsi="Lato"/>
        </w:rPr>
        <w:t>, wc, pomieszczenia gospodarczego, korytarza i składu opału oraz poddasze składające się z 2 pokoi, aneksu kuchennego, w</w:t>
      </w:r>
      <w:r>
        <w:rPr>
          <w:rFonts w:ascii="Lato" w:hAnsi="Lato"/>
        </w:rPr>
        <w:t>c</w:t>
      </w:r>
      <w:r w:rsidRPr="00DC5294">
        <w:rPr>
          <w:rFonts w:ascii="Lato" w:hAnsi="Lato"/>
        </w:rPr>
        <w:t xml:space="preserve"> i przedpokoju. Wysokość pomieszczeń mniejsza niż 2,20 m. Standard wykończenia – poniżej średniej (do odświeżenia), stan techniczny – średni (korzystny). </w:t>
      </w:r>
    </w:p>
    <w:p w14:paraId="3DC51C99" w14:textId="77777777" w:rsidR="003E2C9D" w:rsidRPr="00DC5294" w:rsidRDefault="003E2C9D" w:rsidP="003E2C9D">
      <w:pPr>
        <w:pStyle w:val="WW-Domylnie"/>
        <w:spacing w:before="120" w:line="276" w:lineRule="auto"/>
        <w:jc w:val="both"/>
        <w:rPr>
          <w:rFonts w:ascii="Lato" w:hAnsi="Lato"/>
          <w:szCs w:val="24"/>
        </w:rPr>
      </w:pPr>
      <w:r w:rsidRPr="00DC5294">
        <w:rPr>
          <w:rFonts w:ascii="Lato" w:hAnsi="Lato"/>
          <w:szCs w:val="24"/>
        </w:rPr>
        <w:t xml:space="preserve">Na działce położony jest także namiot o konstrukcji metalowej nie związany trwale z gruntem, wykorzystywany jako garaż. </w:t>
      </w:r>
    </w:p>
    <w:p w14:paraId="24DAC135" w14:textId="583BA496" w:rsidR="00D90C02" w:rsidRPr="003E2C9D" w:rsidRDefault="003E2C9D" w:rsidP="00D90C02">
      <w:pPr>
        <w:pStyle w:val="WW-Domylnie"/>
        <w:spacing w:before="120" w:line="276" w:lineRule="auto"/>
        <w:jc w:val="both"/>
        <w:rPr>
          <w:rFonts w:ascii="Lato" w:hAnsi="Lato" w:cstheme="minorHAnsi"/>
          <w:szCs w:val="24"/>
        </w:rPr>
      </w:pPr>
      <w:r w:rsidRPr="00DC5294">
        <w:rPr>
          <w:rFonts w:ascii="Lato" w:hAnsi="Lato" w:cstheme="minorHAnsi"/>
          <w:szCs w:val="24"/>
        </w:rPr>
        <w:t xml:space="preserve">Teren, na którym znajduje się nieruchomość, nie jest objęty miejscowym planem zagospodarowania przestrzennego. Natomiast w studium uwarunkowań i kierunków zagospodarowania przestrzennego gminy Ostaszewo nieruchomość znajduje się na terenach zabudowy mieszkaniowej, zagrodowej i usługowej.  </w:t>
      </w:r>
    </w:p>
    <w:p w14:paraId="1417AFE1" w14:textId="184BF76B" w:rsidR="0067340C" w:rsidRPr="0067340C" w:rsidRDefault="0067340C" w:rsidP="0067340C">
      <w:pPr>
        <w:spacing w:before="240" w:after="120"/>
        <w:rPr>
          <w:rFonts w:ascii="Lato" w:hAnsi="Lato"/>
          <w:vertAlign w:val="superscript"/>
        </w:rPr>
      </w:pPr>
      <w:r w:rsidRPr="0067340C">
        <w:rPr>
          <w:rStyle w:val="Nagwek2Znak"/>
          <w:rFonts w:ascii="Lato" w:hAnsi="Lato"/>
          <w:b/>
          <w:bCs/>
          <w:color w:val="auto"/>
        </w:rPr>
        <w:t>Termin</w:t>
      </w:r>
      <w:r w:rsidRPr="0067340C">
        <w:rPr>
          <w:rStyle w:val="Nagwek2Znak"/>
          <w:rFonts w:ascii="Lato" w:hAnsi="Lato"/>
          <w:color w:val="auto"/>
        </w:rPr>
        <w:tab/>
      </w:r>
      <w:r w:rsidR="003E2C9D">
        <w:rPr>
          <w:rStyle w:val="Nagwek2Znak"/>
          <w:rFonts w:ascii="Lato" w:hAnsi="Lato"/>
          <w:iCs/>
          <w:color w:val="auto"/>
          <w:sz w:val="24"/>
          <w:szCs w:val="24"/>
        </w:rPr>
        <w:t>23</w:t>
      </w:r>
      <w:r w:rsidR="00366108">
        <w:rPr>
          <w:rStyle w:val="Nagwek2Znak"/>
          <w:rFonts w:ascii="Lato" w:hAnsi="Lato"/>
          <w:iCs/>
          <w:color w:val="auto"/>
          <w:sz w:val="24"/>
          <w:szCs w:val="24"/>
        </w:rPr>
        <w:t>.</w:t>
      </w:r>
      <w:r w:rsidR="003E2C9D">
        <w:rPr>
          <w:rStyle w:val="Nagwek2Znak"/>
          <w:rFonts w:ascii="Lato" w:hAnsi="Lato"/>
          <w:iCs/>
          <w:color w:val="auto"/>
          <w:sz w:val="24"/>
          <w:szCs w:val="24"/>
        </w:rPr>
        <w:t>04</w:t>
      </w:r>
      <w:r w:rsidRPr="0067340C">
        <w:rPr>
          <w:rStyle w:val="Nagwek2Znak"/>
          <w:rFonts w:ascii="Lato" w:hAnsi="Lato"/>
          <w:iCs/>
          <w:color w:val="auto"/>
          <w:sz w:val="24"/>
          <w:szCs w:val="24"/>
        </w:rPr>
        <w:t>.202</w:t>
      </w:r>
      <w:r w:rsidR="00D90C02">
        <w:rPr>
          <w:rStyle w:val="Nagwek2Znak"/>
          <w:rFonts w:ascii="Lato" w:hAnsi="Lato"/>
          <w:iCs/>
          <w:color w:val="auto"/>
          <w:sz w:val="24"/>
          <w:szCs w:val="24"/>
        </w:rPr>
        <w:t>6</w:t>
      </w:r>
      <w:r w:rsidRPr="0067340C">
        <w:rPr>
          <w:rStyle w:val="Nagwek2Znak"/>
          <w:rFonts w:ascii="Lato" w:hAnsi="Lato"/>
          <w:iCs/>
          <w:color w:val="auto"/>
          <w:sz w:val="24"/>
          <w:szCs w:val="24"/>
        </w:rPr>
        <w:t xml:space="preserve"> rok</w:t>
      </w:r>
      <w:r w:rsidRPr="0067340C">
        <w:rPr>
          <w:rStyle w:val="Nagwek2Znak"/>
          <w:rFonts w:ascii="Lato" w:hAnsi="Lato"/>
          <w:color w:val="auto"/>
          <w:sz w:val="24"/>
          <w:szCs w:val="24"/>
        </w:rPr>
        <w:t>, godz</w:t>
      </w:r>
      <w:r>
        <w:rPr>
          <w:rStyle w:val="Nagwek2Znak"/>
          <w:rFonts w:ascii="Lato" w:hAnsi="Lato"/>
          <w:color w:val="auto"/>
          <w:sz w:val="24"/>
          <w:szCs w:val="24"/>
        </w:rPr>
        <w:t>ina</w:t>
      </w:r>
      <w:r w:rsidR="00F66180">
        <w:rPr>
          <w:rStyle w:val="Nagwek2Znak"/>
          <w:rFonts w:ascii="Lato" w:hAnsi="Lato"/>
          <w:color w:val="auto"/>
          <w:sz w:val="24"/>
          <w:szCs w:val="24"/>
        </w:rPr>
        <w:t xml:space="preserve"> 1</w:t>
      </w:r>
      <w:r w:rsidR="00AE7DCE">
        <w:rPr>
          <w:rStyle w:val="Nagwek2Znak"/>
          <w:rFonts w:ascii="Lato" w:hAnsi="Lato"/>
          <w:color w:val="auto"/>
          <w:sz w:val="24"/>
          <w:szCs w:val="24"/>
        </w:rPr>
        <w:t>2</w:t>
      </w:r>
      <w:r w:rsidRPr="0067340C">
        <w:rPr>
          <w:rStyle w:val="Nagwek2Znak"/>
          <w:rFonts w:ascii="Lato" w:hAnsi="Lato"/>
          <w:color w:val="auto"/>
          <w:sz w:val="24"/>
          <w:szCs w:val="24"/>
          <w:vertAlign w:val="superscript"/>
        </w:rPr>
        <w:t>00</w:t>
      </w:r>
    </w:p>
    <w:p w14:paraId="6BC2F824" w14:textId="2387F8A0" w:rsidR="0067340C" w:rsidRPr="0067340C" w:rsidRDefault="0067340C" w:rsidP="0067340C">
      <w:pPr>
        <w:spacing w:before="120" w:after="120"/>
        <w:ind w:left="1418" w:hanging="1418"/>
        <w:jc w:val="both"/>
        <w:rPr>
          <w:rFonts w:ascii="Lato" w:hAnsi="Lato"/>
        </w:rPr>
      </w:pPr>
      <w:r w:rsidRPr="0067340C">
        <w:rPr>
          <w:rStyle w:val="Nagwek2Znak"/>
          <w:rFonts w:ascii="Lato" w:hAnsi="Lato"/>
          <w:b/>
          <w:bCs/>
          <w:color w:val="auto"/>
        </w:rPr>
        <w:lastRenderedPageBreak/>
        <w:t>Miejsce</w:t>
      </w:r>
      <w:r w:rsidRPr="0067340C">
        <w:rPr>
          <w:rStyle w:val="Nagwek2Znak"/>
          <w:rFonts w:ascii="Lato" w:hAnsi="Lato"/>
          <w:color w:val="auto"/>
        </w:rPr>
        <w:tab/>
      </w:r>
      <w:r w:rsidRPr="0067340C">
        <w:rPr>
          <w:rFonts w:ascii="Lato" w:hAnsi="Lato"/>
        </w:rPr>
        <w:t>siedziba Urzędu Skarbowego w Malborku; ul</w:t>
      </w:r>
      <w:r>
        <w:rPr>
          <w:rFonts w:ascii="Lato" w:hAnsi="Lato"/>
        </w:rPr>
        <w:t xml:space="preserve">ica </w:t>
      </w:r>
      <w:r w:rsidRPr="0067340C">
        <w:rPr>
          <w:rFonts w:ascii="Lato" w:hAnsi="Lato"/>
        </w:rPr>
        <w:t>Kopernika 10, pok</w:t>
      </w:r>
      <w:r>
        <w:rPr>
          <w:rFonts w:ascii="Lato" w:hAnsi="Lato"/>
        </w:rPr>
        <w:t xml:space="preserve">ój </w:t>
      </w:r>
      <w:r w:rsidR="00AE7DCE">
        <w:rPr>
          <w:rFonts w:ascii="Lato" w:hAnsi="Lato"/>
        </w:rPr>
        <w:t>105</w:t>
      </w:r>
    </w:p>
    <w:p w14:paraId="298C6D5A" w14:textId="77777777" w:rsidR="003E2C9D" w:rsidRPr="004A016C" w:rsidRDefault="003E2C9D" w:rsidP="003E2C9D">
      <w:pPr>
        <w:pStyle w:val="Tekstpodstawowy"/>
        <w:spacing w:line="23" w:lineRule="atLeast"/>
        <w:rPr>
          <w:rFonts w:ascii="Lato" w:eastAsiaTheme="majorEastAsia" w:hAnsi="Lato" w:cs="Calibri"/>
          <w:color w:val="1F4E79" w:themeColor="accent5" w:themeShade="80"/>
        </w:rPr>
      </w:pPr>
      <w:r w:rsidRPr="009925F4">
        <w:rPr>
          <w:rFonts w:ascii="Lato" w:hAnsi="Lato"/>
          <w:b/>
          <w:bCs/>
          <w:sz w:val="28"/>
          <w:szCs w:val="28"/>
        </w:rPr>
        <w:t>Wartość szacunkowa</w:t>
      </w:r>
      <w:r>
        <w:rPr>
          <w:rFonts w:ascii="Lato" w:hAnsi="Lato"/>
          <w:b/>
          <w:bCs/>
          <w:sz w:val="28"/>
          <w:szCs w:val="28"/>
        </w:rPr>
        <w:t xml:space="preserve"> udziału    </w:t>
      </w:r>
      <w:r>
        <w:rPr>
          <w:rFonts w:ascii="Lato" w:hAnsi="Lato"/>
        </w:rPr>
        <w:t>285.000,00</w:t>
      </w:r>
      <w:r w:rsidRPr="009925F4">
        <w:rPr>
          <w:rFonts w:ascii="Lato" w:hAnsi="Lato"/>
        </w:rPr>
        <w:t xml:space="preserve"> zł</w:t>
      </w:r>
    </w:p>
    <w:p w14:paraId="4940E53F" w14:textId="74766AEA" w:rsidR="00D90C02" w:rsidRPr="00A9675B" w:rsidRDefault="0067340C" w:rsidP="00D90C02">
      <w:pPr>
        <w:pStyle w:val="Tekstpodstawowy"/>
        <w:spacing w:line="23" w:lineRule="atLeast"/>
        <w:jc w:val="both"/>
        <w:rPr>
          <w:rFonts w:ascii="Lato" w:eastAsiaTheme="majorEastAsia" w:hAnsi="Lato" w:cs="Calibri"/>
        </w:rPr>
      </w:pPr>
      <w:r w:rsidRPr="0067340C">
        <w:rPr>
          <w:rStyle w:val="Nagwek2Znak"/>
          <w:rFonts w:ascii="Lato" w:hAnsi="Lato"/>
          <w:b/>
          <w:bCs/>
          <w:color w:val="auto"/>
        </w:rPr>
        <w:t>Cena wywołania</w:t>
      </w:r>
      <w:r w:rsidRPr="0067340C">
        <w:rPr>
          <w:rStyle w:val="Nagwek2Znak"/>
          <w:rFonts w:ascii="Lato" w:hAnsi="Lato"/>
          <w:color w:val="auto"/>
        </w:rPr>
        <w:t xml:space="preserve">      </w:t>
      </w:r>
      <w:r w:rsidR="003E2C9D">
        <w:rPr>
          <w:rFonts w:ascii="Lato" w:eastAsiaTheme="majorEastAsia" w:hAnsi="Lato" w:cs="Calibri"/>
        </w:rPr>
        <w:t xml:space="preserve">213.750,00 </w:t>
      </w:r>
      <w:r w:rsidR="00D90C02" w:rsidRPr="00A9675B">
        <w:rPr>
          <w:rFonts w:ascii="Lato" w:eastAsiaTheme="majorEastAsia" w:hAnsi="Lato" w:cs="Calibri"/>
        </w:rPr>
        <w:t xml:space="preserve">zł </w:t>
      </w:r>
    </w:p>
    <w:p w14:paraId="57C9AA1F" w14:textId="6E6364DF" w:rsidR="0067340C" w:rsidRPr="004A016C" w:rsidRDefault="0067340C" w:rsidP="0067340C">
      <w:pPr>
        <w:pStyle w:val="Tekstpodstawowy"/>
        <w:spacing w:line="23" w:lineRule="atLeast"/>
        <w:jc w:val="both"/>
        <w:rPr>
          <w:rFonts w:ascii="Lato" w:eastAsiaTheme="majorEastAsia" w:hAnsi="Lato" w:cs="Calibri"/>
          <w:color w:val="1F4E79" w:themeColor="accent5" w:themeShade="80"/>
        </w:rPr>
      </w:pPr>
      <w:r w:rsidRPr="0067340C">
        <w:rPr>
          <w:rStyle w:val="Nagwek2Znak"/>
          <w:rFonts w:ascii="Lato" w:hAnsi="Lato"/>
          <w:b/>
          <w:bCs/>
          <w:color w:val="auto"/>
        </w:rPr>
        <w:t>Wadium</w:t>
      </w:r>
      <w:r w:rsidRPr="00BB7AF6">
        <w:rPr>
          <w:rStyle w:val="Nagwek2Znak"/>
          <w:rFonts w:ascii="Lato" w:hAnsi="Lato"/>
        </w:rPr>
        <w:tab/>
      </w:r>
      <w:r w:rsidR="003E2C9D">
        <w:rPr>
          <w:rFonts w:ascii="Lato" w:eastAsiaTheme="majorEastAsia" w:hAnsi="Lato" w:cs="Calibri"/>
        </w:rPr>
        <w:t>28.500</w:t>
      </w:r>
      <w:r w:rsidR="00AE7DCE">
        <w:rPr>
          <w:rFonts w:ascii="Lato" w:eastAsiaTheme="majorEastAsia" w:hAnsi="Lato" w:cs="Calibri"/>
        </w:rPr>
        <w:t>,00</w:t>
      </w:r>
      <w:r w:rsidRPr="009925F4">
        <w:rPr>
          <w:rFonts w:ascii="Lato" w:eastAsiaTheme="majorEastAsia" w:hAnsi="Lato" w:cs="Calibri"/>
        </w:rPr>
        <w:t xml:space="preserve"> zł</w:t>
      </w:r>
    </w:p>
    <w:p w14:paraId="2021CED0" w14:textId="77777777" w:rsidR="008475A5" w:rsidRPr="00BD1A17" w:rsidRDefault="008475A5" w:rsidP="008475A5">
      <w:pPr>
        <w:pStyle w:val="Standard"/>
        <w:spacing w:before="24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BD1A17">
        <w:rPr>
          <w:rFonts w:ascii="Lato" w:hAnsi="Lato"/>
          <w:bCs/>
          <w:sz w:val="24"/>
          <w:szCs w:val="24"/>
        </w:rPr>
        <w:t xml:space="preserve">Warunkiem przystąpienia do licytacji </w:t>
      </w:r>
      <w:r>
        <w:rPr>
          <w:rFonts w:ascii="Lato" w:hAnsi="Lato"/>
          <w:bCs/>
          <w:sz w:val="24"/>
          <w:szCs w:val="24"/>
        </w:rPr>
        <w:t>nie</w:t>
      </w:r>
      <w:r w:rsidRPr="00BD1A17">
        <w:rPr>
          <w:rFonts w:ascii="Lato" w:hAnsi="Lato"/>
          <w:bCs/>
          <w:sz w:val="24"/>
          <w:szCs w:val="24"/>
        </w:rPr>
        <w:t xml:space="preserve">ruchomości jest wpłata wadium. </w:t>
      </w:r>
      <w:r w:rsidRPr="00BD1A17">
        <w:rPr>
          <w:rFonts w:ascii="Lato" w:hAnsi="Lato"/>
          <w:bCs/>
          <w:sz w:val="24"/>
          <w:szCs w:val="24"/>
        </w:rPr>
        <w:tab/>
      </w:r>
      <w:r w:rsidRPr="00BD1A17">
        <w:rPr>
          <w:rFonts w:ascii="Lato" w:hAnsi="Lato"/>
          <w:bCs/>
          <w:sz w:val="24"/>
          <w:szCs w:val="24"/>
        </w:rPr>
        <w:tab/>
      </w:r>
    </w:p>
    <w:p w14:paraId="4C07B629" w14:textId="77777777" w:rsidR="008475A5" w:rsidRPr="00BC289D" w:rsidRDefault="008475A5" w:rsidP="008475A5">
      <w:pPr>
        <w:pStyle w:val="TekstpismaKAS"/>
        <w:spacing w:before="0"/>
        <w:jc w:val="both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>Wadium p</w:t>
      </w:r>
      <w:r w:rsidRPr="00573136">
        <w:rPr>
          <w:rFonts w:ascii="Lato" w:eastAsia="Times New Roman" w:hAnsi="Lato"/>
          <w:lang w:eastAsia="pl-PL"/>
        </w:rPr>
        <w:t xml:space="preserve">roszę </w:t>
      </w:r>
      <w:r w:rsidRPr="00573136">
        <w:rPr>
          <w:rFonts w:ascii="Lato" w:hAnsi="Lato"/>
          <w:lang w:eastAsia="pl-PL"/>
        </w:rPr>
        <w:t>wpłacić na rachunek bankowy</w:t>
      </w:r>
      <w:r w:rsidRPr="00573136">
        <w:rPr>
          <w:rFonts w:ascii="Lato" w:eastAsia="Times New Roman" w:hAnsi="Lato"/>
          <w:lang w:eastAsia="pl-PL"/>
        </w:rPr>
        <w:t xml:space="preserve"> </w:t>
      </w:r>
      <w:r>
        <w:rPr>
          <w:rFonts w:ascii="Lato" w:eastAsia="Times New Roman" w:hAnsi="Lato"/>
          <w:lang w:eastAsia="pl-PL"/>
        </w:rPr>
        <w:t xml:space="preserve">Naczelnika Urzędu Skarbowego w Malborku </w:t>
      </w:r>
      <w:r w:rsidRPr="00573136">
        <w:rPr>
          <w:rFonts w:ascii="Lato" w:eastAsia="Times New Roman" w:hAnsi="Lato"/>
          <w:lang w:eastAsia="pl-PL"/>
        </w:rPr>
        <w:t>nr</w:t>
      </w:r>
      <w:r>
        <w:rPr>
          <w:rFonts w:ascii="Lato" w:eastAsia="Times New Roman" w:hAnsi="Lato"/>
          <w:lang w:eastAsia="pl-PL"/>
        </w:rPr>
        <w:t xml:space="preserve"> 21 1010 1140 0023 3613 9120 0000</w:t>
      </w:r>
      <w:r w:rsidRPr="00776700">
        <w:rPr>
          <w:rFonts w:ascii="Times New Roman" w:hAnsi="Times New Roman" w:cs="Times New Roman"/>
        </w:rPr>
        <w:t xml:space="preserve"> </w:t>
      </w:r>
      <w:r>
        <w:rPr>
          <w:rFonts w:ascii="Lato" w:hAnsi="Lato" w:cs="Times New Roman"/>
        </w:rPr>
        <w:t>w</w:t>
      </w:r>
      <w:r w:rsidRPr="00776700">
        <w:rPr>
          <w:rFonts w:ascii="Lato" w:hAnsi="Lato" w:cs="Times New Roman"/>
        </w:rPr>
        <w:t xml:space="preserve"> NBP O/O Gdańsk</w:t>
      </w:r>
      <w:r w:rsidRPr="00776700">
        <w:rPr>
          <w:rFonts w:ascii="Lato" w:eastAsia="Times New Roman" w:hAnsi="Lato"/>
          <w:lang w:eastAsia="pl-PL"/>
        </w:rPr>
        <w:t xml:space="preserve">. W treści przelewu proszę zamieścić: „wadium, nr księgi wieczystej </w:t>
      </w:r>
      <w:r w:rsidRPr="00776700">
        <w:rPr>
          <w:rFonts w:ascii="Lato" w:hAnsi="Lato" w:cs="Calibri"/>
        </w:rPr>
        <w:t>nr</w:t>
      </w:r>
      <w:r w:rsidRPr="00BB7AF6">
        <w:rPr>
          <w:rFonts w:ascii="Lato" w:hAnsi="Lato" w:cs="Calibri"/>
        </w:rPr>
        <w:t xml:space="preserve"> </w:t>
      </w:r>
      <w:r w:rsidRPr="00DC5294">
        <w:rPr>
          <w:rFonts w:ascii="Lato" w:hAnsi="Lato"/>
        </w:rPr>
        <w:t>GD2M/00046848/6</w:t>
      </w:r>
      <w:r>
        <w:rPr>
          <w:rFonts w:ascii="Lato" w:eastAsiaTheme="majorEastAsia" w:hAnsi="Lato" w:cs="Calibri"/>
        </w:rPr>
        <w:t>”.</w:t>
      </w:r>
      <w:r>
        <w:rPr>
          <w:rFonts w:ascii="Lato" w:eastAsia="Times New Roman" w:hAnsi="Lato"/>
          <w:lang w:eastAsia="pl-PL"/>
        </w:rPr>
        <w:t xml:space="preserve">  </w:t>
      </w:r>
    </w:p>
    <w:p w14:paraId="5EE4305D" w14:textId="77777777" w:rsidR="008475A5" w:rsidRDefault="008475A5" w:rsidP="008475A5">
      <w:pPr>
        <w:pStyle w:val="TekstpismaKAS"/>
        <w:jc w:val="both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73204815" w14:textId="77777777" w:rsidR="008475A5" w:rsidRPr="00776700" w:rsidRDefault="008475A5" w:rsidP="008475A5">
      <w:pPr>
        <w:pStyle w:val="TekstpismaKAS"/>
        <w:jc w:val="both"/>
        <w:rPr>
          <w:rFonts w:ascii="Lato" w:hAnsi="Lato"/>
          <w:lang w:eastAsia="zh-CN"/>
        </w:rPr>
      </w:pPr>
      <w:r w:rsidRPr="00776700">
        <w:rPr>
          <w:rFonts w:ascii="Lato" w:hAnsi="Lato"/>
          <w:lang w:eastAsia="zh-CN"/>
        </w:rPr>
        <w:t xml:space="preserve">Zatrzymam wadium złożone przez licytanta, któremu udzielimy przybicia. </w:t>
      </w:r>
    </w:p>
    <w:p w14:paraId="387A47D6" w14:textId="77777777" w:rsidR="008475A5" w:rsidRDefault="008475A5" w:rsidP="008475A5">
      <w:pPr>
        <w:pStyle w:val="TekstpismaKAS"/>
        <w:jc w:val="both"/>
        <w:rPr>
          <w:rFonts w:ascii="Lato" w:hAnsi="Lato"/>
          <w:lang w:eastAsia="zh-CN"/>
        </w:rPr>
      </w:pPr>
      <w:r w:rsidRPr="00573136">
        <w:rPr>
          <w:rFonts w:ascii="Lato" w:hAnsi="Lato"/>
          <w:lang w:eastAsia="zh-CN"/>
        </w:rPr>
        <w:t>Pozostałym licytantom zwróc</w:t>
      </w:r>
      <w:r>
        <w:rPr>
          <w:rFonts w:ascii="Lato" w:hAnsi="Lato"/>
          <w:lang w:eastAsia="zh-CN"/>
        </w:rPr>
        <w:t>ę</w:t>
      </w:r>
      <w:r w:rsidRPr="00573136">
        <w:rPr>
          <w:rFonts w:ascii="Lato" w:hAnsi="Lato"/>
          <w:lang w:eastAsia="zh-CN"/>
        </w:rPr>
        <w:t xml:space="preserve"> wadium</w:t>
      </w:r>
      <w:r>
        <w:rPr>
          <w:rFonts w:ascii="Lato" w:hAnsi="Lato"/>
          <w:lang w:eastAsia="zh-CN"/>
        </w:rPr>
        <w:t xml:space="preserve"> nie później niż w terminie 7 dni roboczych od dnia licytacji. </w:t>
      </w:r>
    </w:p>
    <w:p w14:paraId="60FEB85A" w14:textId="77777777" w:rsidR="0067340C" w:rsidRPr="00903AA0" w:rsidRDefault="0067340C" w:rsidP="0067340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sz w:val="28"/>
          <w:szCs w:val="28"/>
        </w:rPr>
      </w:pPr>
      <w:r w:rsidRPr="00903AA0">
        <w:rPr>
          <w:rFonts w:ascii="Lato" w:hAnsi="Lato"/>
          <w:b/>
          <w:bCs/>
          <w:sz w:val="28"/>
          <w:szCs w:val="28"/>
        </w:rPr>
        <w:t>Termin i miejsce oglądania nieruchomości</w:t>
      </w:r>
    </w:p>
    <w:p w14:paraId="26F32F6F" w14:textId="6730DE11" w:rsidR="0067340C" w:rsidRPr="00935665" w:rsidRDefault="0067340C" w:rsidP="0067340C">
      <w:pPr>
        <w:pStyle w:val="TekstpismaKAS"/>
        <w:jc w:val="both"/>
        <w:rPr>
          <w:rFonts w:ascii="Lato" w:hAnsi="Lato" w:cs="Times New Roman"/>
        </w:rPr>
      </w:pPr>
      <w:r w:rsidRPr="00935665">
        <w:rPr>
          <w:rFonts w:ascii="Lato" w:hAnsi="Lato" w:cs="Times New Roman"/>
        </w:rPr>
        <w:t>Nieruchomość można oglądać w terminie 14 dni przed dniem licytacji, w dni powszednie od godz</w:t>
      </w:r>
      <w:r>
        <w:rPr>
          <w:rFonts w:ascii="Lato" w:hAnsi="Lato" w:cs="Times New Roman"/>
        </w:rPr>
        <w:t>iny</w:t>
      </w:r>
      <w:r w:rsidRPr="00935665">
        <w:rPr>
          <w:rFonts w:ascii="Lato" w:hAnsi="Lato" w:cs="Times New Roman"/>
        </w:rPr>
        <w:t xml:space="preserve"> 10:00 do godz</w:t>
      </w:r>
      <w:r>
        <w:rPr>
          <w:rFonts w:ascii="Lato" w:hAnsi="Lato" w:cs="Times New Roman"/>
        </w:rPr>
        <w:t>iny</w:t>
      </w:r>
      <w:r w:rsidRPr="00935665">
        <w:rPr>
          <w:rFonts w:ascii="Lato" w:hAnsi="Lato" w:cs="Times New Roman"/>
        </w:rPr>
        <w:t xml:space="preserve"> 13:00, po wcześniejszym uzgodnieniu z organem egzekucyjnym. W tym też terminie – po wcześniejszym uzgodnieniu telefonicznym pod n</w:t>
      </w:r>
      <w:r>
        <w:rPr>
          <w:rFonts w:ascii="Lato" w:hAnsi="Lato" w:cs="Times New Roman"/>
        </w:rPr>
        <w:t>umerem</w:t>
      </w:r>
      <w:r w:rsidRPr="00935665">
        <w:rPr>
          <w:rFonts w:ascii="Lato" w:hAnsi="Lato" w:cs="Times New Roman"/>
        </w:rPr>
        <w:t xml:space="preserve"> 55 270 22 </w:t>
      </w:r>
      <w:r w:rsidR="00FD4931">
        <w:rPr>
          <w:rFonts w:ascii="Lato" w:hAnsi="Lato" w:cs="Times New Roman"/>
        </w:rPr>
        <w:t>63</w:t>
      </w:r>
      <w:r w:rsidRPr="00935665">
        <w:rPr>
          <w:rFonts w:ascii="Lato" w:hAnsi="Lato" w:cs="Times New Roman"/>
        </w:rPr>
        <w:t xml:space="preserve"> – w Urzędzie Skarbowym w Malborku, pok</w:t>
      </w:r>
      <w:r>
        <w:rPr>
          <w:rFonts w:ascii="Lato" w:hAnsi="Lato" w:cs="Times New Roman"/>
        </w:rPr>
        <w:t>ój</w:t>
      </w:r>
      <w:r w:rsidRPr="00935665">
        <w:rPr>
          <w:rFonts w:ascii="Lato" w:hAnsi="Lato" w:cs="Times New Roman"/>
        </w:rPr>
        <w:t xml:space="preserve"> </w:t>
      </w:r>
      <w:r w:rsidR="00E51BC9">
        <w:rPr>
          <w:rFonts w:ascii="Lato" w:hAnsi="Lato" w:cs="Times New Roman"/>
        </w:rPr>
        <w:t>105</w:t>
      </w:r>
      <w:r w:rsidRPr="00935665">
        <w:rPr>
          <w:rFonts w:ascii="Lato" w:hAnsi="Lato" w:cs="Times New Roman"/>
        </w:rPr>
        <w:t>, można przeglądać akta postępowania egzekucyjnego (protokół opisu i oszacowania nieruchomości, operat szacunkowy).</w:t>
      </w:r>
    </w:p>
    <w:p w14:paraId="5A6F8DE3" w14:textId="77777777" w:rsidR="0067340C" w:rsidRPr="00396486" w:rsidRDefault="0067340C" w:rsidP="0067340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sz w:val="28"/>
          <w:szCs w:val="28"/>
        </w:rPr>
      </w:pPr>
      <w:r w:rsidRPr="00396486">
        <w:rPr>
          <w:rFonts w:ascii="Lato" w:hAnsi="Lato"/>
          <w:b/>
          <w:bCs/>
          <w:sz w:val="28"/>
          <w:szCs w:val="28"/>
        </w:rPr>
        <w:t>Pozostałe informacje</w:t>
      </w:r>
    </w:p>
    <w:p w14:paraId="04A33222" w14:textId="77777777" w:rsidR="0067340C" w:rsidRDefault="0067340C" w:rsidP="0067340C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Pr="00396486">
        <w:rPr>
          <w:rFonts w:ascii="Lato" w:hAnsi="Lato"/>
          <w:bCs/>
          <w:iCs/>
          <w:sz w:val="24"/>
          <w:szCs w:val="24"/>
        </w:rPr>
        <w:t>nie jest</w:t>
      </w:r>
      <w:r w:rsidRPr="00396486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usług, ani podatkiem od czynności cywilnoprawnych.</w:t>
      </w:r>
    </w:p>
    <w:p w14:paraId="03C6EEB7" w14:textId="77777777" w:rsidR="0067340C" w:rsidRPr="00CE25A7" w:rsidRDefault="0067340C" w:rsidP="0067340C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01C083FA" w14:textId="2C87EA9E" w:rsidR="0067340C" w:rsidRDefault="0067340C" w:rsidP="0067340C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</w:t>
      </w:r>
    </w:p>
    <w:p w14:paraId="3E3BA01A" w14:textId="77777777" w:rsidR="000960B3" w:rsidRPr="00A9675B" w:rsidRDefault="000960B3" w:rsidP="000960B3">
      <w:pPr>
        <w:pStyle w:val="Standard"/>
        <w:spacing w:before="120"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A9675B">
        <w:rPr>
          <w:rFonts w:ascii="Lato" w:hAnsi="Lato"/>
          <w:sz w:val="24"/>
          <w:szCs w:val="24"/>
        </w:rPr>
        <w:t xml:space="preserve">W </w:t>
      </w:r>
      <w:r w:rsidRPr="00A9675B">
        <w:rPr>
          <w:rFonts w:ascii="Lato" w:hAnsi="Lato" w:cs="Times New Roman"/>
          <w:sz w:val="24"/>
          <w:szCs w:val="24"/>
        </w:rPr>
        <w:t>licytacji nie mogą uczestniczyć osoby, o których mowa w art. 111d § 1 ustawy o postępowaniu egzekucyjnym w administracji.</w:t>
      </w:r>
    </w:p>
    <w:p w14:paraId="1079D3E6" w14:textId="77777777" w:rsidR="000960B3" w:rsidRPr="00A9675B" w:rsidRDefault="000960B3" w:rsidP="000960B3">
      <w:pPr>
        <w:pStyle w:val="Standard"/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  <w:r w:rsidRPr="00A9675B">
        <w:rPr>
          <w:rFonts w:ascii="Lato" w:hAnsi="Lato" w:cs="Times New Roman"/>
          <w:sz w:val="24"/>
          <w:szCs w:val="24"/>
        </w:rPr>
        <w:t>Licytacja może zostać odwołana bez podania przyczyn.</w:t>
      </w:r>
    </w:p>
    <w:p w14:paraId="2CC2D8DA" w14:textId="77777777" w:rsidR="000960B3" w:rsidRPr="00A9675B" w:rsidRDefault="000960B3" w:rsidP="000960B3">
      <w:pPr>
        <w:pStyle w:val="Standard"/>
        <w:spacing w:before="120" w:line="276" w:lineRule="auto"/>
        <w:jc w:val="both"/>
        <w:rPr>
          <w:rFonts w:ascii="Lato" w:hAnsi="Lato" w:cs="Times New Roman"/>
          <w:sz w:val="24"/>
          <w:szCs w:val="24"/>
        </w:rPr>
      </w:pPr>
      <w:r w:rsidRPr="00A9675B">
        <w:rPr>
          <w:rFonts w:ascii="Lato" w:hAnsi="Lato" w:cs="Times New Roman"/>
          <w:sz w:val="24"/>
          <w:szCs w:val="24"/>
        </w:rPr>
        <w:t>Na czynności organu egzekucyjnego dotyczące obwieszczenia o licytacji przysługuje skarga. Skargę można wnieść do organu egzekucyjnego w terminie 14 dni od dnia ogłoszenia o licytacji.</w:t>
      </w:r>
    </w:p>
    <w:p w14:paraId="6ADEF7B5" w14:textId="77777777" w:rsidR="0067340C" w:rsidRPr="00D01ABB" w:rsidRDefault="0067340C" w:rsidP="00366108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lastRenderedPageBreak/>
        <w:t xml:space="preserve">Szczegółowe informacje można uzyskać w </w:t>
      </w:r>
      <w:r w:rsidRPr="00396486">
        <w:rPr>
          <w:rFonts w:ascii="Lato" w:hAnsi="Lato"/>
          <w:bCs/>
          <w:sz w:val="24"/>
          <w:szCs w:val="24"/>
        </w:rPr>
        <w:t>Dziale</w:t>
      </w:r>
      <w:r w:rsidRPr="008A5AEC">
        <w:rPr>
          <w:rFonts w:ascii="Lato" w:hAnsi="Lato"/>
          <w:bCs/>
          <w:color w:val="002060"/>
          <w:sz w:val="24"/>
          <w:szCs w:val="24"/>
        </w:rPr>
        <w:t xml:space="preserve">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06D1C65B" w14:textId="5AD36E7B" w:rsidR="0067340C" w:rsidRPr="009B2E17" w:rsidRDefault="0067340C" w:rsidP="00366108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396486">
        <w:rPr>
          <w:rFonts w:ascii="Lato" w:hAnsi="Lato"/>
        </w:rPr>
        <w:t xml:space="preserve">55 270 22 </w:t>
      </w:r>
      <w:r w:rsidR="00FD4931">
        <w:rPr>
          <w:rFonts w:ascii="Lato" w:hAnsi="Lato"/>
        </w:rPr>
        <w:t>63</w:t>
      </w:r>
    </w:p>
    <w:p w14:paraId="4F67984E" w14:textId="48EB358F" w:rsidR="0067340C" w:rsidRPr="00396F33" w:rsidRDefault="0067340C" w:rsidP="00366108">
      <w:pPr>
        <w:pStyle w:val="TekstpismaKAS"/>
        <w:spacing w:before="0"/>
        <w:rPr>
          <w:rFonts w:ascii="Lato" w:hAnsi="Lato"/>
        </w:rPr>
      </w:pPr>
      <w:r w:rsidRPr="00573136">
        <w:rPr>
          <w:rFonts w:ascii="Lato" w:hAnsi="Lato"/>
        </w:rPr>
        <w:t>elektronicznie – napisz na adres:</w:t>
      </w:r>
      <w:r w:rsidR="00366108">
        <w:rPr>
          <w:rFonts w:ascii="Lato" w:hAnsi="Lato"/>
        </w:rPr>
        <w:t xml:space="preserve"> </w:t>
      </w:r>
      <w:r w:rsidR="00FD4931">
        <w:rPr>
          <w:rFonts w:ascii="Lato" w:hAnsi="Lato"/>
        </w:rPr>
        <w:t>anetta.rugala</w:t>
      </w:r>
      <w:r w:rsidRPr="00396F33">
        <w:rPr>
          <w:rFonts w:ascii="Lato" w:hAnsi="Lato"/>
        </w:rPr>
        <w:t>@mf.gov.pl</w:t>
      </w:r>
    </w:p>
    <w:p w14:paraId="544AC2A0" w14:textId="77777777" w:rsidR="0067340C" w:rsidRPr="00D01ABB" w:rsidRDefault="0067340C" w:rsidP="00366108">
      <w:pPr>
        <w:pStyle w:val="Standard"/>
        <w:spacing w:after="0" w:line="276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hyperlink r:id="rId7" w:history="1">
        <w:r w:rsidRPr="00830C86">
          <w:rPr>
            <w:rStyle w:val="Hipercze"/>
            <w:rFonts w:ascii="Lato" w:hAnsi="Lato"/>
            <w:bCs/>
            <w:sz w:val="24"/>
            <w:szCs w:val="24"/>
          </w:rPr>
          <w:t>https://www.pomorskie.kas.gov.pl/urzad-skarbowy-w-malborku</w:t>
        </w:r>
      </w:hyperlink>
      <w:r w:rsidRPr="00830C86">
        <w:rPr>
          <w:rFonts w:ascii="Lato" w:hAnsi="Lato"/>
          <w:bCs/>
          <w:sz w:val="24"/>
          <w:szCs w:val="24"/>
        </w:rPr>
        <w:t>,</w:t>
      </w:r>
      <w:r w:rsidRPr="00830C86">
        <w:rPr>
          <w:rFonts w:ascii="Lato" w:hAnsi="Lato"/>
          <w:bCs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5319493E" w14:textId="77777777" w:rsidR="0067340C" w:rsidRPr="00396486" w:rsidRDefault="0067340C" w:rsidP="0067340C">
      <w:pPr>
        <w:pStyle w:val="rdtytuKAS"/>
        <w:rPr>
          <w:rFonts w:ascii="Lato" w:hAnsi="Lato"/>
          <w:color w:val="auto"/>
          <w:lang w:eastAsia="pl-PL"/>
        </w:rPr>
      </w:pPr>
      <w:r w:rsidRPr="00396486">
        <w:rPr>
          <w:rFonts w:ascii="Lato" w:hAnsi="Lato"/>
          <w:color w:val="auto"/>
          <w:lang w:eastAsia="pl-PL"/>
        </w:rPr>
        <w:t xml:space="preserve">Przepisy prawa: </w:t>
      </w:r>
    </w:p>
    <w:p w14:paraId="0C1BB68E" w14:textId="20B06AAE" w:rsidR="0067340C" w:rsidRPr="00573136" w:rsidRDefault="0067340C" w:rsidP="0067340C">
      <w:pPr>
        <w:pStyle w:val="TekstpismaKAS"/>
        <w:jc w:val="both"/>
        <w:rPr>
          <w:rFonts w:ascii="Lato" w:hAnsi="Lato"/>
          <w:lang w:eastAsia="pl-PL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  <w:lang w:eastAsia="pl-PL"/>
        </w:rPr>
        <w:t xml:space="preserve">ustawy z dnia 17 czerwca 1966 r. </w:t>
      </w:r>
      <w:r>
        <w:rPr>
          <w:rFonts w:ascii="Lato" w:hAnsi="Lato"/>
          <w:lang w:eastAsia="pl-PL"/>
        </w:rPr>
        <w:br/>
      </w:r>
      <w:r w:rsidRPr="00573136">
        <w:rPr>
          <w:rFonts w:ascii="Lato" w:hAnsi="Lato"/>
          <w:lang w:eastAsia="pl-PL"/>
        </w:rPr>
        <w:t>o postępowaniu egzekucyjnym w ad</w:t>
      </w:r>
      <w:r>
        <w:rPr>
          <w:rFonts w:ascii="Lato" w:hAnsi="Lato"/>
          <w:lang w:eastAsia="pl-PL"/>
        </w:rPr>
        <w:t>m</w:t>
      </w:r>
      <w:r w:rsidRPr="00573136">
        <w:rPr>
          <w:rFonts w:ascii="Lato" w:hAnsi="Lato"/>
          <w:lang w:eastAsia="pl-PL"/>
        </w:rPr>
        <w:t xml:space="preserve">inistracji (Dz.U. z </w:t>
      </w:r>
      <w:r w:rsidR="00366108">
        <w:rPr>
          <w:rFonts w:ascii="Lato" w:hAnsi="Lato"/>
          <w:lang w:eastAsia="pl-PL"/>
        </w:rPr>
        <w:t>2025</w:t>
      </w:r>
      <w:r w:rsidRPr="00573136">
        <w:rPr>
          <w:rFonts w:ascii="Lato" w:hAnsi="Lato"/>
          <w:lang w:eastAsia="pl-PL"/>
        </w:rPr>
        <w:t xml:space="preserve"> r. poz.</w:t>
      </w:r>
      <w:r w:rsidR="00366108">
        <w:rPr>
          <w:rFonts w:ascii="Lato" w:hAnsi="Lato"/>
          <w:lang w:eastAsia="pl-PL"/>
        </w:rPr>
        <w:t>132</w:t>
      </w:r>
      <w:r w:rsidR="00D86C5F">
        <w:rPr>
          <w:rFonts w:ascii="Lato" w:hAnsi="Lato"/>
          <w:lang w:eastAsia="pl-PL"/>
        </w:rPr>
        <w:t xml:space="preserve"> ze zm.</w:t>
      </w:r>
      <w:r w:rsidRPr="00573136">
        <w:rPr>
          <w:rFonts w:ascii="Lato" w:hAnsi="Lato"/>
          <w:lang w:eastAsia="pl-PL"/>
        </w:rPr>
        <w:t>).</w:t>
      </w:r>
    </w:p>
    <w:p w14:paraId="348D6695" w14:textId="77777777" w:rsidR="007C1A1B" w:rsidRPr="0067340C" w:rsidRDefault="007C1A1B" w:rsidP="0067340C"/>
    <w:sectPr w:rsidR="007C1A1B" w:rsidRPr="0067340C" w:rsidSect="0067340C"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EF71" w14:textId="77777777" w:rsidR="00203F8F" w:rsidRDefault="00203F8F" w:rsidP="00696628">
      <w:r>
        <w:separator/>
      </w:r>
    </w:p>
  </w:endnote>
  <w:endnote w:type="continuationSeparator" w:id="0">
    <w:p w14:paraId="32304434" w14:textId="77777777" w:rsidR="00203F8F" w:rsidRDefault="00203F8F" w:rsidP="006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B788" w14:textId="77777777" w:rsidR="00203F8F" w:rsidRDefault="00203F8F" w:rsidP="00696628">
      <w:r>
        <w:separator/>
      </w:r>
    </w:p>
  </w:footnote>
  <w:footnote w:type="continuationSeparator" w:id="0">
    <w:p w14:paraId="6FFE6CF9" w14:textId="77777777" w:rsidR="00203F8F" w:rsidRDefault="00203F8F" w:rsidP="0069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D9F65AD4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67438"/>
    <w:multiLevelType w:val="multilevel"/>
    <w:tmpl w:val="C60C44C6"/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EF"/>
    <w:rsid w:val="00034FE9"/>
    <w:rsid w:val="00043991"/>
    <w:rsid w:val="0008005F"/>
    <w:rsid w:val="000960B3"/>
    <w:rsid w:val="000A7239"/>
    <w:rsid w:val="000B397E"/>
    <w:rsid w:val="000E3E94"/>
    <w:rsid w:val="000E7E4F"/>
    <w:rsid w:val="0017532B"/>
    <w:rsid w:val="00203F8F"/>
    <w:rsid w:val="002A5775"/>
    <w:rsid w:val="002C0B63"/>
    <w:rsid w:val="00355081"/>
    <w:rsid w:val="00366108"/>
    <w:rsid w:val="003671C1"/>
    <w:rsid w:val="003B25A0"/>
    <w:rsid w:val="003E2C9D"/>
    <w:rsid w:val="003E48F6"/>
    <w:rsid w:val="00404864"/>
    <w:rsid w:val="00433509"/>
    <w:rsid w:val="00452CFB"/>
    <w:rsid w:val="0046417C"/>
    <w:rsid w:val="00493B3C"/>
    <w:rsid w:val="004C7025"/>
    <w:rsid w:val="005577C0"/>
    <w:rsid w:val="005C1AC2"/>
    <w:rsid w:val="005D59BE"/>
    <w:rsid w:val="005D78B1"/>
    <w:rsid w:val="005E6339"/>
    <w:rsid w:val="00636E5D"/>
    <w:rsid w:val="0067340C"/>
    <w:rsid w:val="0069034D"/>
    <w:rsid w:val="00696628"/>
    <w:rsid w:val="00741409"/>
    <w:rsid w:val="00752193"/>
    <w:rsid w:val="00786E6E"/>
    <w:rsid w:val="007C1A1B"/>
    <w:rsid w:val="0080018B"/>
    <w:rsid w:val="008475A5"/>
    <w:rsid w:val="00885EE7"/>
    <w:rsid w:val="00887B0F"/>
    <w:rsid w:val="008A26C2"/>
    <w:rsid w:val="008A5A7C"/>
    <w:rsid w:val="008F15FD"/>
    <w:rsid w:val="009132BF"/>
    <w:rsid w:val="00937D18"/>
    <w:rsid w:val="00990B07"/>
    <w:rsid w:val="0099289A"/>
    <w:rsid w:val="009A4798"/>
    <w:rsid w:val="009A69FA"/>
    <w:rsid w:val="00A754D6"/>
    <w:rsid w:val="00AE7DCE"/>
    <w:rsid w:val="00C52B48"/>
    <w:rsid w:val="00D255E5"/>
    <w:rsid w:val="00D4458B"/>
    <w:rsid w:val="00D86C5F"/>
    <w:rsid w:val="00D90C02"/>
    <w:rsid w:val="00E51BC9"/>
    <w:rsid w:val="00EB67EF"/>
    <w:rsid w:val="00EB7CB4"/>
    <w:rsid w:val="00F35161"/>
    <w:rsid w:val="00F66180"/>
    <w:rsid w:val="00FA588E"/>
    <w:rsid w:val="00FD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79E51C"/>
  <w15:docId w15:val="{342A6731-5250-46AC-9607-22FED50C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B6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B6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8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B6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628"/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6417C"/>
    <w:pPr>
      <w:spacing w:before="100" w:beforeAutospacing="1" w:after="142" w:line="288" w:lineRule="auto"/>
    </w:pPr>
    <w:rPr>
      <w:rFonts w:ascii="Times New Roman" w:eastAsia="Times New Roman" w:hAnsi="Times New Roman"/>
      <w:color w:val="00000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1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6417C"/>
    <w:rPr>
      <w:rFonts w:eastAsiaTheme="minorEastAsia"/>
      <w:color w:val="5A5A5A" w:themeColor="text1" w:themeTint="A5"/>
      <w:spacing w:val="15"/>
    </w:rPr>
  </w:style>
  <w:style w:type="paragraph" w:customStyle="1" w:styleId="WW-Domylnie">
    <w:name w:val="WW-Domyślnie"/>
    <w:qFormat/>
    <w:rsid w:val="002A577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character" w:customStyle="1" w:styleId="eop">
    <w:name w:val="eop"/>
    <w:basedOn w:val="Domylnaczcionkaakapitu"/>
    <w:qFormat/>
    <w:rsid w:val="000B397E"/>
  </w:style>
  <w:style w:type="character" w:customStyle="1" w:styleId="Nagwek2Znak">
    <w:name w:val="Nagłówek 2 Znak"/>
    <w:basedOn w:val="Domylnaczcionkaakapitu"/>
    <w:link w:val="Nagwek2"/>
    <w:uiPriority w:val="9"/>
    <w:qFormat/>
    <w:rsid w:val="005D78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A7C"/>
    <w:pPr>
      <w:widowControl w:val="0"/>
      <w:suppressAutoHyphens/>
      <w:spacing w:before="120" w:after="0" w:line="276" w:lineRule="auto"/>
    </w:pPr>
    <w:rPr>
      <w:rFonts w:eastAsia="Lato" w:cstheme="minorHAnsi"/>
      <w:color w:val="000000" w:themeColor="text1"/>
    </w:rPr>
  </w:style>
  <w:style w:type="paragraph" w:customStyle="1" w:styleId="rdtytuKAS">
    <w:name w:val="Śródtytuł KAS"/>
    <w:basedOn w:val="Nagwek2"/>
    <w:link w:val="rdtytuKASZnak"/>
    <w:qFormat/>
    <w:rsid w:val="008A5A7C"/>
    <w:pPr>
      <w:suppressAutoHyphens/>
      <w:spacing w:before="240" w:line="276" w:lineRule="auto"/>
      <w:contextualSpacing/>
    </w:pPr>
    <w:rPr>
      <w:rFonts w:cstheme="minorHAnsi"/>
      <w:b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8A5A7C"/>
    <w:rPr>
      <w:rFonts w:ascii="Cambria" w:eastAsia="Lato" w:hAnsi="Cambria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8A5A7C"/>
    <w:pPr>
      <w:widowControl w:val="0"/>
      <w:numPr>
        <w:numId w:val="1"/>
      </w:numPr>
      <w:suppressAutoHyphens/>
      <w:spacing w:before="120" w:line="276" w:lineRule="auto"/>
      <w:ind w:left="284" w:hanging="284"/>
    </w:pPr>
    <w:rPr>
      <w:rFonts w:asciiTheme="minorHAnsi" w:eastAsia="Lato" w:hAnsiTheme="minorHAnsi" w:cstheme="minorHAnsi"/>
      <w:color w:val="000000" w:themeColor="text1"/>
      <w:szCs w:val="22"/>
    </w:rPr>
  </w:style>
  <w:style w:type="character" w:customStyle="1" w:styleId="rdtytuKASZnak">
    <w:name w:val="Śródtytuł KAS Znak"/>
    <w:basedOn w:val="Nagwek2Znak"/>
    <w:link w:val="rdtytuKAS"/>
    <w:uiPriority w:val="1"/>
    <w:rsid w:val="008A5A7C"/>
    <w:rPr>
      <w:rFonts w:asciiTheme="majorHAnsi" w:eastAsiaTheme="majorEastAsia" w:hAnsiTheme="majorHAnsi" w:cstheme="minorHAnsi"/>
      <w:b/>
      <w:color w:val="000000" w:themeColor="text1"/>
      <w:sz w:val="24"/>
      <w:szCs w:val="26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8A5A7C"/>
    <w:rPr>
      <w:rFonts w:eastAsia="Lato" w:cstheme="minorHAnsi"/>
      <w:color w:val="000000" w:themeColor="text1"/>
      <w:sz w:val="24"/>
    </w:rPr>
  </w:style>
  <w:style w:type="paragraph" w:customStyle="1" w:styleId="Standard">
    <w:name w:val="Standard"/>
    <w:qFormat/>
    <w:rsid w:val="008A5A7C"/>
    <w:pPr>
      <w:suppressAutoHyphens/>
      <w:overflowPunct w:val="0"/>
      <w:autoSpaceDN w:val="0"/>
      <w:spacing w:line="256" w:lineRule="auto"/>
      <w:textAlignment w:val="baseline"/>
    </w:pPr>
    <w:rPr>
      <w:rFonts w:ascii="Calibri" w:eastAsia="Calibri" w:hAnsi="Calibri"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A5A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A5A7C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7340C"/>
    <w:rPr>
      <w:color w:val="0563C1" w:themeColor="hyperlink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67340C"/>
    <w:pPr>
      <w:keepNext/>
      <w:keepLines/>
      <w:suppressAutoHyphens/>
      <w:spacing w:before="960" w:line="259" w:lineRule="auto"/>
      <w:outlineLvl w:val="0"/>
    </w:pPr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morskie.kas.gov.pl/urzad-skarbowy-w-malbor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Wojtysiak Anita</dc:creator>
  <cp:keywords/>
  <dc:description/>
  <cp:lastModifiedBy>Rugała Anetta</cp:lastModifiedBy>
  <cp:revision>13</cp:revision>
  <dcterms:created xsi:type="dcterms:W3CDTF">2025-06-16T11:32:00Z</dcterms:created>
  <dcterms:modified xsi:type="dcterms:W3CDTF">2026-03-02T10:04:00Z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2023-09-22T09:00:32.7376569+02:00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GRN-3d78d699-450c-48fe-a2cb-2f10ad9d61cb</vt:lpwstr>
  </property>
  <property fmtid="{D5CDD505-2E9C-101B-9397-08002B2CF9AE}" pid="7" name="MFHash">
    <vt:lpwstr>htBNhdG9/JiYTbWndEBBn97/aRcGNKGVZU4XGNX1QhM=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