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6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Wejherowie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color w:val="000000"/>
        </w:rPr>
      </w:pPr>
      <w:r>
        <mc:AlternateContent>
          <mc:Choice Requires="wps">
            <w:drawing>
              <wp:anchor behindDoc="0" distT="0" distB="62865" distL="133350" distR="13462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1355" cy="1270"/>
                <wp:effectExtent l="635" t="6350" r="635" b="6350"/>
                <wp:wrapTopAndBottom/>
                <wp:docPr id="2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3.55pt,2.9pt" ID="Łącznik prosty 2" stroked="t" o:allowincell="f" style="position:absolute;flip:y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000000"/>
        </w:rPr>
        <w:tab/>
      </w:r>
      <w:r>
        <w:rPr>
          <w:rFonts w:ascii="Lato" w:hAnsi="Lato"/>
          <w:color w:val="000000"/>
          <w:sz w:val="24"/>
          <w:szCs w:val="24"/>
        </w:rPr>
        <w:t xml:space="preserve">Wejherowo, </w:t>
      </w:r>
      <w:r>
        <w:rPr>
          <w:rFonts w:ascii="Lato" w:hAnsi="Lato"/>
          <w:color w:val="000000"/>
          <w:sz w:val="24"/>
          <w:szCs w:val="24"/>
        </w:rPr>
        <w:t>3 marca</w:t>
      </w:r>
      <w:r>
        <w:rPr>
          <w:rFonts w:ascii="Lato" w:hAnsi="Lato"/>
          <w:color w:val="000000"/>
          <w:sz w:val="24"/>
          <w:szCs w:val="24"/>
        </w:rPr>
        <w:t xml:space="preserve"> 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NIERUCHOMOŚCI</w:t>
      </w:r>
    </w:p>
    <w:p>
      <w:pPr>
        <w:pStyle w:val="Standard"/>
        <w:spacing w:lineRule="auto" w:line="240" w:before="288" w:after="0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lokalu niemieszkalnego nr 44 – garażu, stanowiącego odrębną nieruchomość, położonego w Bolszewie przy ulicy Szkolnej 47A, o powierzchni użytkowej 14.84 m2, dla której Sąd Rejonowy </w:t>
        <w:br/>
        <w:t>w Wejherowie IV Wydział Ksiąg Wieczystych prowadzi księgę wieczystą nr GD1W/00063470/1, wraz z udziałem 554/100000 w nieruchomości wspólnej, którą stanowi grunt oraz części budynku i urządzenia,  które nie służą wyłącznie do użytku właścicieli lokali, objętej księgą wieczystą GD1W/00055937/4 prowadzoną przez  Sąd Rejonowy w Wejherowie IV Wydział Ksiąg Wieczystych</w:t>
      </w:r>
    </w:p>
    <w:p>
      <w:pPr>
        <w:pStyle w:val="Standard"/>
        <w:spacing w:lineRule="auto" w:line="276" w:before="288" w:after="0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należące do Pana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i w:val="false"/>
          <w:iCs w:val="false"/>
          <w:color w:val="000000" w:themeShade="bf"/>
          <w:sz w:val="24"/>
          <w:szCs w:val="24"/>
        </w:rPr>
        <w:t>Kazimierza Szwink</w:t>
      </w:r>
      <w:r>
        <w:rPr>
          <w:rFonts w:ascii="Lato" w:hAnsi="Lato"/>
          <w:bCs/>
          <w:i w:val="false"/>
          <w:iCs w:val="false"/>
          <w:color w:val="000000" w:themeShade="bf"/>
          <w:sz w:val="24"/>
          <w:szCs w:val="24"/>
        </w:rPr>
        <w:t>a</w:t>
      </w:r>
      <w:r>
        <w:rPr>
          <w:rFonts w:ascii="Lato" w:hAnsi="Lato"/>
          <w:i w:val="false"/>
          <w:iCs w:val="false"/>
          <w:color w:val="000000"/>
          <w:sz w:val="24"/>
          <w:szCs w:val="24"/>
        </w:rPr>
        <w:t>.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>2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>9.04.2026r.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, godz.1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.00</w:t>
      </w:r>
    </w:p>
    <w:p>
      <w:pPr>
        <w:pStyle w:val="Normal"/>
        <w:spacing w:before="240" w:after="240"/>
        <w:ind w:left="1418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cs="Calibri" w:ascii="Lato" w:hAnsi="Lato"/>
          <w:b w:val="false"/>
          <w:color w:val="000000"/>
          <w:sz w:val="24"/>
          <w:szCs w:val="24"/>
        </w:rPr>
        <w:t>siedziba Urz</w:t>
      </w:r>
      <w:r>
        <w:rPr>
          <w:rFonts w:cs="Calibri" w:ascii="Lato" w:hAnsi="Lato"/>
          <w:color w:val="000000"/>
          <w:sz w:val="24"/>
          <w:szCs w:val="24"/>
        </w:rPr>
        <w:t xml:space="preserve">ędu Skarbowego w Wejherowie,  ul. Sobieskiego 346, </w:t>
        <w:br/>
        <w:t>84-200 Wejherowo (sala konferencyjna p.102)</w:t>
      </w:r>
    </w:p>
    <w:p>
      <w:pPr>
        <w:pStyle w:val="Tretekstu"/>
        <w:spacing w:lineRule="atLeast" w:line="23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000000"/>
        </w:rPr>
        <w:t>40 0</w:t>
      </w:r>
      <w:r>
        <w:rPr>
          <w:rFonts w:eastAsia="" w:cs="Calibri" w:ascii="Lato" w:hAnsi="Lato" w:eastAsiaTheme="majorEastAsia"/>
          <w:color w:val="000000"/>
          <w:szCs w:val="24"/>
          <w:lang w:val="fr-FR"/>
        </w:rPr>
        <w:t>00,00 zł</w:t>
      </w:r>
    </w:p>
    <w:p>
      <w:pPr>
        <w:pStyle w:val="Tretekstu"/>
        <w:spacing w:lineRule="atLeast" w:line="23"/>
        <w:jc w:val="both"/>
        <w:rPr/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>30 000,00</w:t>
      </w:r>
      <w:r>
        <w:rPr>
          <w:rStyle w:val="Nagwek2Znak"/>
          <w:rFonts w:ascii="Lato" w:hAnsi="Lato"/>
          <w:b w:val="false"/>
          <w:bCs w:val="false"/>
          <w:color w:val="C00000"/>
        </w:rPr>
        <w:t xml:space="preserve"> </w:t>
      </w:r>
      <w:r>
        <w:rPr>
          <w:rStyle w:val="Nagwek2Znak"/>
          <w:rFonts w:cs="Calibri" w:ascii="Lato" w:hAnsi="Lato"/>
          <w:b w:val="false"/>
          <w:bCs w:val="false"/>
          <w:color w:val="000000"/>
          <w:sz w:val="24"/>
          <w:szCs w:val="24"/>
          <w:lang w:val="fr-FR"/>
        </w:rPr>
        <w:t xml:space="preserve"> zł</w:t>
      </w:r>
    </w:p>
    <w:p>
      <w:pPr>
        <w:pStyle w:val="Tretekstu"/>
        <w:spacing w:lineRule="atLeast" w:line="23"/>
        <w:jc w:val="both"/>
        <w:rPr/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>4000</w:t>
      </w:r>
      <w:r>
        <w:rPr>
          <w:rStyle w:val="Nagwek2Znak"/>
          <w:rFonts w:cs="Calibri" w:ascii="Lato" w:hAnsi="Lato"/>
          <w:b w:val="false"/>
          <w:bCs w:val="false"/>
          <w:color w:val="000000"/>
          <w:sz w:val="24"/>
          <w:szCs w:val="24"/>
          <w:lang w:val="fr-FR"/>
        </w:rPr>
        <w:t>,</w:t>
      </w:r>
      <w:r>
        <w:rPr>
          <w:rStyle w:val="Nagwek2Znak"/>
          <w:rFonts w:cs="Calibri" w:ascii="Lato" w:hAnsi="Lato"/>
          <w:b w:val="false"/>
          <w:color w:val="000000"/>
          <w:sz w:val="24"/>
          <w:szCs w:val="24"/>
          <w:lang w:val="fr-FR"/>
        </w:rPr>
        <w:t>00 zł</w:t>
      </w:r>
    </w:p>
    <w:p>
      <w:pPr>
        <w:pStyle w:val="Standard"/>
        <w:spacing w:lineRule="auto" w:line="276" w:before="114" w:after="114"/>
        <w:jc w:val="both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bCs/>
          <w:sz w:val="24"/>
          <w:szCs w:val="24"/>
          <w:lang w:eastAsia="zh-CN"/>
        </w:rPr>
        <w:t xml:space="preserve">Warunkiem przystąpienia do licytacji nieruchomości jest wpłata wadium. </w:t>
        <w:tab/>
      </w:r>
      <w:r>
        <w:rPr>
          <w:rFonts w:eastAsia="Cambria" w:cs="Times New Roman" w:ascii="Lato" w:hAnsi="Lato"/>
          <w:bCs/>
          <w:lang w:eastAsia="zh-CN"/>
        </w:rPr>
        <w:tab/>
      </w:r>
    </w:p>
    <w:p>
      <w:pPr>
        <w:pStyle w:val="TekstpismaKAS"/>
        <w:spacing w:before="0" w:after="0"/>
        <w:contextualSpacing/>
        <w:jc w:val="both"/>
        <w:rPr>
          <w:rFonts w:ascii="Lato" w:hAnsi="Lato"/>
        </w:rPr>
      </w:pPr>
      <w:r>
        <w:rPr>
          <w:rFonts w:ascii="Lato" w:hAnsi="Lato"/>
          <w:lang w:eastAsia="pl-PL"/>
        </w:rPr>
        <w:t xml:space="preserve">Wadium proszę wpłacić na rachunek bankowy organu egzekucyjnego </w:t>
      </w:r>
      <w:r>
        <w:rPr>
          <w:rFonts w:cs="Arial" w:ascii="Lato" w:hAnsi="Lato"/>
          <w:color w:val="000000"/>
        </w:rPr>
        <w:t>NBP O/O Gdańsk</w:t>
      </w:r>
      <w:r>
        <w:rPr>
          <w:rFonts w:ascii="Lato" w:hAnsi="Lato"/>
          <w:lang w:eastAsia="pl-PL"/>
        </w:rPr>
        <w:t xml:space="preserve"> nr </w:t>
      </w:r>
      <w:r>
        <w:rPr>
          <w:rFonts w:ascii="Lato" w:hAnsi="Lato"/>
          <w:color w:val="000000"/>
        </w:rPr>
        <w:t>12 1010 1140 0143 9713 9120 0000</w:t>
      </w:r>
      <w:r>
        <w:rPr>
          <w:rFonts w:ascii="Lato" w:hAnsi="Lato"/>
          <w:lang w:eastAsia="pl-PL"/>
        </w:rPr>
        <w:t xml:space="preserve">. </w:t>
      </w:r>
    </w:p>
    <w:p>
      <w:pPr>
        <w:pStyle w:val="TekstpismaKAS"/>
        <w:spacing w:before="0" w:after="0"/>
        <w:contextualSpacing/>
        <w:jc w:val="both"/>
        <w:rPr>
          <w:rFonts w:ascii="Lato" w:hAnsi="Lato"/>
        </w:rPr>
      </w:pPr>
      <w:r>
        <w:rPr>
          <w:rFonts w:ascii="Lato" w:hAnsi="Lato"/>
          <w:lang w:eastAsia="pl-PL"/>
        </w:rPr>
        <w:t xml:space="preserve">W treści przelewu proszę zamieścić: wadium KW </w:t>
      </w:r>
      <w:r>
        <w:rPr>
          <w:rFonts w:eastAsia="Calibri Light" w:ascii="Lato" w:hAnsi="Lato"/>
          <w:lang w:val="fr-FR" w:eastAsia="pl-PL"/>
        </w:rPr>
        <w:t xml:space="preserve"> GD1W/00063470/1.</w:t>
      </w:r>
    </w:p>
    <w:p>
      <w:pPr>
        <w:pStyle w:val="TekstpismaKAS"/>
        <w:spacing w:before="120" w:after="114"/>
        <w:contextualSpacing/>
        <w:jc w:val="both"/>
        <w:rPr>
          <w:rFonts w:ascii="Lato" w:hAnsi="Lato"/>
        </w:rPr>
      </w:pPr>
      <w:r>
        <w:rPr>
          <w:rFonts w:ascii="Lato" w:hAnsi="Lato"/>
          <w:lang w:eastAsia="pl-PL"/>
        </w:rPr>
        <w:t xml:space="preserve">Wadium uznam za złożone, jeżeli wpłata zostanie uznana na naszym rachunku najpóźniej w dniu poprzedzającym dzień licytacji.                                                       </w:t>
      </w:r>
      <w:r>
        <w:rPr>
          <w:rFonts w:ascii="Lato" w:hAnsi="Lato"/>
          <w:u w:val="single"/>
          <w:lang w:eastAsia="zh-CN"/>
        </w:rPr>
        <w:br/>
        <w:br/>
        <w:t xml:space="preserve">Zatrzymam wadium złożone przez licytanta, któremu udzielimy przybicia. </w:t>
      </w:r>
    </w:p>
    <w:p>
      <w:pPr>
        <w:pStyle w:val="Tretekstu"/>
        <w:rPr>
          <w:rFonts w:ascii="Lato" w:hAnsi="Lato"/>
        </w:rPr>
      </w:pPr>
      <w:r>
        <w:rPr>
          <w:rFonts w:ascii="Lato" w:hAnsi="Lato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pacing w:lineRule="auto" w:line="240" w:before="120" w:after="0"/>
        <w:ind w:left="567" w:hanging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/>
      </w:r>
    </w:p>
    <w:p>
      <w:pPr>
        <w:pStyle w:val="Standard"/>
        <w:spacing w:lineRule="auto" w:line="240" w:before="120" w:after="0"/>
        <w:ind w:left="567" w:hanging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Tretekstu"/>
        <w:spacing w:lineRule="atLeast" w:line="23"/>
        <w:ind w:left="567" w:hanging="0"/>
        <w:jc w:val="both"/>
        <w:rPr/>
      </w:pPr>
      <w:r>
        <w:rPr>
          <w:rFonts w:ascii="Lato" w:hAnsi="Lato"/>
          <w:bCs/>
        </w:rPr>
        <w:t xml:space="preserve">Nieruchomość można oglądać od </w:t>
      </w:r>
      <w:r>
        <w:rPr>
          <w:rFonts w:eastAsia="Lato" w:cs="Lato" w:ascii="Lato" w:hAnsi="Lato"/>
          <w:bCs/>
          <w:color w:val="auto"/>
          <w:kern w:val="0"/>
          <w:sz w:val="24"/>
          <w:szCs w:val="22"/>
          <w:lang w:val="pl-PL" w:eastAsia="en-US" w:bidi="ar-SA"/>
        </w:rPr>
        <w:t>14.04</w:t>
      </w:r>
      <w:r>
        <w:rPr>
          <w:rFonts w:ascii="Lato" w:hAnsi="Lato"/>
          <w:bCs/>
        </w:rPr>
        <w:t xml:space="preserve">.2026r. </w:t>
      </w:r>
      <w:r>
        <w:rPr>
          <w:rFonts w:ascii="Lato" w:hAnsi="Lato"/>
          <w:bCs/>
        </w:rPr>
        <w:t>d</w:t>
      </w:r>
      <w:r>
        <w:rPr>
          <w:rFonts w:ascii="Lato" w:hAnsi="Lato"/>
          <w:bCs/>
        </w:rPr>
        <w:t xml:space="preserve">o </w:t>
      </w:r>
      <w:r>
        <w:rPr>
          <w:rFonts w:eastAsia="Lato" w:cs="Lato" w:ascii="Lato" w:hAnsi="Lato"/>
          <w:bCs/>
          <w:color w:val="auto"/>
          <w:kern w:val="0"/>
          <w:sz w:val="24"/>
          <w:szCs w:val="22"/>
          <w:lang w:val="pl-PL" w:eastAsia="en-US" w:bidi="ar-SA"/>
        </w:rPr>
        <w:t>28.04</w:t>
      </w:r>
      <w:r>
        <w:rPr>
          <w:rFonts w:ascii="Lato" w:hAnsi="Lato"/>
          <w:bCs/>
        </w:rPr>
        <w:t>.2026r. w dni robocze</w:t>
      </w:r>
      <w:r>
        <w:rPr>
          <w:rFonts w:ascii="Lato" w:hAnsi="Lato"/>
        </w:rPr>
        <w:t xml:space="preserve">, po wcześniejszym uzgodnieniu z pracownikiem organu egzekucyjnego Panią </w:t>
      </w:r>
      <w:r>
        <w:rPr>
          <w:rFonts w:ascii="Lato" w:hAnsi="Lato"/>
        </w:rPr>
        <w:t>Anną Recką</w:t>
      </w:r>
      <w:r>
        <w:rPr>
          <w:rFonts w:ascii="Lato" w:hAnsi="Lato"/>
        </w:rPr>
        <w:t xml:space="preserve"> telefon </w:t>
      </w:r>
      <w:r>
        <w:rPr>
          <w:rFonts w:cs="Calibri" w:ascii="Lato" w:hAnsi="Lato"/>
          <w:szCs w:val="24"/>
        </w:rPr>
        <w:t xml:space="preserve">58 736 39 </w:t>
      </w:r>
      <w:r>
        <w:rPr>
          <w:rFonts w:cs="Calibri" w:ascii="Lato" w:hAnsi="Lato"/>
          <w:szCs w:val="24"/>
        </w:rPr>
        <w:t>64</w:t>
      </w:r>
      <w:r>
        <w:rPr>
          <w:rFonts w:ascii="Lato" w:hAnsi="Lato"/>
        </w:rPr>
        <w:t>. W tym samym czasie mogą Państwo przeglądać akta postępowania egzekucyjnego bezpośrednio związane z nieruchomością (protokół opisu i oszacowania wraz z operatem szacunkowym) w siedzibie Urzędu Skarbowego w Wejherowie, w godz. 9:00 – 13:00</w:t>
      </w:r>
    </w:p>
    <w:p>
      <w:pPr>
        <w:pStyle w:val="Normal"/>
        <w:spacing w:lineRule="atLeast" w:line="23"/>
        <w:ind w:left="567" w:hanging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ind w:left="567" w:hanging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ind w:left="567" w:hanging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color w:val="000000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 Sprzedaż nie jest opodatkowana podatkiem od czynności cywilnoprawnych.</w:t>
      </w:r>
    </w:p>
    <w:p>
      <w:pPr>
        <w:pStyle w:val="Standard"/>
        <w:spacing w:lineRule="auto" w:line="276" w:before="120" w:after="0"/>
        <w:ind w:left="567" w:hanging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Standard"/>
        <w:spacing w:lineRule="auto" w:line="276" w:before="120" w:after="0"/>
        <w:ind w:left="567" w:hanging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567" w:hanging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Standard"/>
        <w:spacing w:before="120" w:after="160"/>
        <w:ind w:left="567" w:hanging="0"/>
        <w:jc w:val="both"/>
        <w:rPr>
          <w:rFonts w:ascii="Lato" w:hAnsi="Lato"/>
          <w:sz w:val="24"/>
          <w:szCs w:val="24"/>
        </w:rPr>
      </w:pPr>
      <w:bookmarkStart w:id="0" w:name="_Hlk193957765"/>
      <w:bookmarkEnd w:id="0"/>
      <w:r>
        <w:rPr>
          <w:rFonts w:ascii="Lato" w:hAnsi="Lato"/>
          <w:bCs/>
          <w:color w:val="000000"/>
          <w:sz w:val="24"/>
          <w:szCs w:val="24"/>
          <w:lang w:eastAsia="pl-PL"/>
        </w:rPr>
        <w:t>Szczeg</w:t>
      </w:r>
      <w:r>
        <w:rPr>
          <w:rFonts w:ascii="Lato" w:hAnsi="Lato"/>
          <w:bCs/>
          <w:sz w:val="24"/>
          <w:szCs w:val="24"/>
        </w:rPr>
        <w:t>ółowe informacje można uzyskać w Drugim Dziale 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67" w:hanging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ind w:left="1361" w:firstLine="1"/>
        <w:contextualSpacing/>
        <w:rPr>
          <w:rFonts w:ascii="Lato" w:hAnsi="Lato"/>
        </w:rPr>
      </w:pPr>
      <w:r>
        <w:drawing>
          <wp:anchor behindDoc="0" distT="0" distB="635" distL="114935" distR="114935" simplePos="0" locked="0" layoutInCell="0" allowOverlap="1" relativeHeight="9">
            <wp:simplePos x="0" y="0"/>
            <wp:positionH relativeFrom="column">
              <wp:posOffset>414020</wp:posOffset>
            </wp:positionH>
            <wp:positionV relativeFrom="paragraph">
              <wp:posOffset>69215</wp:posOffset>
            </wp:positionV>
            <wp:extent cx="358140" cy="358140"/>
            <wp:effectExtent l="0" t="0" r="0" b="0"/>
            <wp:wrapSquare wrapText="bothSides"/>
            <wp:docPr id="3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</w:rPr>
        <w:br/>
        <w:t xml:space="preserve">58 736 39 </w:t>
      </w:r>
      <w:r>
        <w:rPr>
          <w:rFonts w:ascii="Lato" w:hAnsi="Lato"/>
        </w:rPr>
        <w:t>64</w:t>
      </w:r>
    </w:p>
    <w:p>
      <w:pPr>
        <w:pStyle w:val="TekstpismaKAS"/>
        <w:ind w:left="1361" w:hanging="0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ind w:left="1361" w:hanging="0"/>
        <w:rPr>
          <w:rFonts w:ascii="Lato" w:hAnsi="Lato"/>
        </w:rPr>
      </w:pPr>
      <w: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405130</wp:posOffset>
            </wp:positionH>
            <wp:positionV relativeFrom="paragraph">
              <wp:posOffset>43815</wp:posOffset>
            </wp:positionV>
            <wp:extent cx="375285" cy="306705"/>
            <wp:effectExtent l="0" t="0" r="0" b="0"/>
            <wp:wrapSquare wrapText="bothSides"/>
            <wp:docPr id="4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ind w:left="1361" w:hanging="0"/>
        <w:rPr>
          <w:rFonts w:ascii="Lato" w:hAnsi="Lato"/>
        </w:rPr>
      </w:pPr>
      <w:r>
        <w:rPr>
          <w:rFonts w:ascii="Lato" w:hAnsi="Lato"/>
          <w:color w:val="000000"/>
        </w:rPr>
        <w:t>m</w:t>
      </w:r>
      <w:r>
        <w:rPr>
          <w:rFonts w:ascii="Lato" w:hAnsi="Lato"/>
          <w:color w:val="000000"/>
        </w:rPr>
        <w:t>anna.recka</w:t>
      </w:r>
      <w:r>
        <w:rPr>
          <w:rFonts w:ascii="Lato" w:hAnsi="Lato"/>
          <w:color w:val="000000"/>
        </w:rPr>
        <w:t>@mf.gov.pl</w:t>
      </w:r>
    </w:p>
    <w:p>
      <w:pPr>
        <w:pStyle w:val="Standard"/>
        <w:spacing w:before="120" w:after="160"/>
        <w:ind w:left="567" w:hanging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Czeinternetowe"/>
            <w:rFonts w:eastAsia="SimSun" w:cs="Mangal" w:ascii="Lato" w:hAnsi="Lato"/>
            <w:bCs/>
            <w:sz w:val="24"/>
            <w:szCs w:val="24"/>
            <w:lang w:eastAsia="zh-CN" w:bidi="hi-IN"/>
          </w:rPr>
          <w:t>https://www.pomorskie.kas.gov.pl/izba-administracji-skarbowej-w-gdansku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color w:val="00206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>
      <w:pPr>
        <w:pStyle w:val="RdtytuKAS"/>
        <w:ind w:left="567" w:hanging="0"/>
        <w:rPr>
          <w:rFonts w:ascii="Lato" w:hAnsi="Lato"/>
          <w:sz w:val="24"/>
          <w:szCs w:val="24"/>
        </w:rPr>
      </w:pPr>
      <w:r>
        <w:rPr>
          <w:rFonts w:ascii="Lato" w:hAnsi="Lato"/>
          <w:color w:val="C00000"/>
          <w:sz w:val="24"/>
          <w:szCs w:val="24"/>
          <w:lang w:eastAsia="pl-PL"/>
        </w:rPr>
        <w:t xml:space="preserve">Przepisy prawa: </w:t>
      </w:r>
    </w:p>
    <w:p>
      <w:pPr>
        <w:pStyle w:val="TekstpismaKAS"/>
        <w:ind w:left="567" w:hanging="0"/>
        <w:jc w:val="both"/>
        <w:rPr>
          <w:rFonts w:ascii="Lato" w:hAnsi="Lato"/>
        </w:rPr>
      </w:pPr>
      <w:r>
        <w:rPr>
          <w:rFonts w:ascii="Lato" w:hAnsi="Lato"/>
        </w:rPr>
        <w:t xml:space="preserve">Art. 110w §1 i § 3, art. 110z, art. 111, art. 111d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</w:rPr>
        <w:br/>
      </w:r>
      <w:r>
        <w:rPr>
          <w:rFonts w:ascii="Lato" w:hAnsi="Lato"/>
          <w:lang w:eastAsia="pl-PL"/>
        </w:rPr>
        <w:t xml:space="preserve">o postępowaniu egzekucyjnym w administracji (Dz.U. z 2025 r. poz. 132 </w:t>
      </w:r>
      <w:r>
        <w:rPr>
          <w:rFonts w:ascii="Lato" w:hAnsi="Lato"/>
          <w:lang w:eastAsia="pl-PL"/>
        </w:rPr>
        <w:t>z późn. zm.</w:t>
      </w:r>
      <w:r>
        <w:rPr>
          <w:rFonts w:ascii="Lato" w:hAnsi="Lato"/>
          <w:lang w:eastAsia="pl-PL"/>
        </w:rPr>
        <w:t>).</w:t>
      </w:r>
    </w:p>
    <w:p>
      <w:pPr>
        <w:pStyle w:val="Normal"/>
        <w:spacing w:before="0" w:after="0"/>
        <w:ind w:left="567" w:hanging="0"/>
        <w:contextualSpacing/>
        <w:rPr>
          <w:rFonts w:ascii="Lato" w:hAnsi="Lato"/>
          <w:color w:val="2F5496" w:themeColor="accent1" w:themeShade="bf"/>
        </w:rPr>
      </w:pPr>
      <w:r>
        <w:rPr/>
      </w:r>
    </w:p>
    <w:sectPr>
      <w:headerReference w:type="first" r:id="rId6"/>
      <w:footerReference w:type="default" r:id="rId7"/>
      <w:footerReference w:type="first" r:id="rId8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1405" cy="307340"/>
              <wp:effectExtent l="0" t="0" r="0" b="0"/>
              <wp:wrapNone/>
              <wp:docPr id="5" name="Obraz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" path="m0,0l-2147483645,0l-2147483645,-2147483646l0,-2147483646xe" stroked="f" o:allowincell="f" style="position:absolute;margin-left:425.25pt;margin-top:0pt;width:85.05pt;height:24.1pt;mso-wrap-style:square;v-text-anchor:top;mso-position-vertical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rPr>
        <w:rFonts w:cs="Calibri"/>
        <w:lang w:val="en-US"/>
      </w:rPr>
    </w:pPr>
    <w:r>
      <w:rPr>
        <w:rFonts w:cs="Calibri"/>
        <w:color w:val="000000"/>
        <w:sz w:val="18"/>
        <w:szCs w:val="18"/>
        <w:lang w:val="en-US"/>
      </w:rPr>
      <w:tab/>
      <w:tab/>
      <w:tab/>
      <w:tab/>
      <w:tab/>
      <w:tab/>
      <w:tab/>
      <w:tab/>
      <w:tab/>
      <w:tab/>
      <w:tab/>
    </w:r>
    <w:r>
      <w:rPr>
        <w:rFonts w:cs="Calibri"/>
        <w:color w:val="000000"/>
        <w:sz w:val="18"/>
        <w:szCs w:val="18"/>
        <w:lang w:val="fr-FR"/>
      </w:rPr>
      <w:t xml:space="preserve">e-mail :  </w:t>
    </w:r>
    <w:r>
      <w:rPr>
        <w:color w:val="000000"/>
        <w:sz w:val="18"/>
        <w:szCs w:val="18"/>
        <w:lang w:val="fr-FR"/>
      </w:rPr>
      <w:t xml:space="preserve">• </w:t>
    </w:r>
    <w:r>
      <w:rPr>
        <w:color w:val="00000A"/>
        <w:sz w:val="18"/>
        <w:szCs w:val="18"/>
        <w:lang w:val="fr-FR"/>
      </w:rPr>
      <w:t>www.pomorskie.kas.gov.pl/urzad-skarbowy-w-wejherowie</w:t>
    </w:r>
  </w:p>
  <w:p>
    <w:pPr>
      <w:pStyle w:val="Normal"/>
      <w:spacing w:before="0" w:after="0"/>
      <w:rPr>
        <w:rFonts w:cs="Calibri"/>
        <w:lang w:val="en-US"/>
      </w:rPr>
    </w:pPr>
    <w:r>
      <w:rPr>
        <w:color w:val="00000A"/>
        <w:sz w:val="18"/>
        <w:szCs w:val="18"/>
        <w:lang w:val="fr-FR"/>
      </w:rPr>
      <w:tab/>
      <w:tab/>
      <w:tab/>
      <w:tab/>
      <w:tab/>
      <w:tab/>
      <w:tab/>
      <w:tab/>
      <w:tab/>
      <w:tab/>
      <w:tab/>
      <w:t>Urząd Skarbowy w Wejherowie, ul. Sobieskiego 346,84-200 Wejherowo</w:t>
    </w:r>
  </w:p>
  <w:p>
    <w:pPr>
      <w:pStyle w:val="Normal"/>
      <w:spacing w:before="0" w:after="160"/>
      <w:rPr>
        <w:rFonts w:cs="Calibri"/>
        <w:lang w:val="en-US"/>
      </w:rPr>
    </w:pPr>
    <w:r>
      <w:rPr>
        <w:rFonts w:cs="Calibri"/>
        <w:lang w:val="en-US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1360" cy="307340"/>
              <wp:effectExtent l="0" t="0" r="0" b="0"/>
              <wp:wrapNone/>
              <wp:docPr id="7" name="Obraz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2" path="m0,0l-2147483645,0l-2147483645,-2147483646l0,-2147483646xe" stroked="f" o:allowincell="f" style="position:absolute;margin-left:453.6pt;margin-top:0pt;width:56.7pt;height:24.1pt;mso-wrap-style:square;v-text-anchor:top;mso-position-vertical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189" w:leader="none"/>
        <w:tab w:val="center" w:pos="4536" w:leader="none"/>
        <w:tab w:val="right" w:pos="9072" w:leader="none"/>
      </w:tabs>
      <w:ind w:left="1134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mirrorMargins/>
  <w:defaultTabStop w:val="284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 w:customStyle="1">
    <w:name w:val="Łącze internetowe"/>
    <w:basedOn w:val="DefaultParagraphFont"/>
    <w:uiPriority w:val="99"/>
    <w:unhideWhenUsed/>
    <w:rsid w:val="00820f46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link w:val="RdtytuKAS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wstpniesformatowanyZnak" w:customStyle="1">
    <w:name w:val="HTML - wstępnie sformatowany Znak"/>
    <w:basedOn w:val="DefaultParagraphFont"/>
    <w:link w:val="HTMLPreformatted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Hipercze1" w:customStyle="1">
    <w:name w:val="Hiperłącze1"/>
    <w:basedOn w:val="DefaultParagraphFont"/>
    <w:qFormat/>
    <w:rsid w:val="00d01abb"/>
    <w:rPr>
      <w:color w:val="0563C1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Nagwek2"/>
    <w:link w:val="RdtytuKASZnak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left="426" w:hanging="284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 w:hanging="0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left="1418" w:right="4253" w:hanging="1418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 w:hanging="0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left="284" w:hanging="284"/>
    </w:pPr>
    <w:rPr/>
  </w:style>
  <w:style w:type="paragraph" w:styleId="Prawo" w:customStyle="1">
    <w:name w:val="Prawo"/>
    <w:basedOn w:val="Tretekstu"/>
    <w:qFormat/>
    <w:rsid w:val="00484d7f"/>
    <w:pPr>
      <w:pBdr>
        <w:left w:val="single" w:sz="4" w:space="8" w:color="000000"/>
      </w:pBdr>
      <w:spacing w:before="160" w:after="120"/>
      <w:ind w:left="454" w:hanging="0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link w:val="HTMLwstpniesformatowanyZnak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pomorskie.kas.gov.pl/izba-administracji-skarbowej-w-gdansku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Application>LibreOffice/7.2.1.2$Windows_X86_64 LibreOffice_project/87b77fad49947c1441b67c559c339af8f3517e22</Application>
  <AppVersion>15.0000</AppVersion>
  <Pages>2</Pages>
  <Words>449</Words>
  <Characters>2921</Characters>
  <CharactersWithSpaces>3435</CharactersWithSpaces>
  <Paragraphs>35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2025-07-01T14:20:00Z</cp:lastPrinted>
  <dcterms:modified xsi:type="dcterms:W3CDTF">2026-03-03T07:50:34Z</dcterms:modified>
  <cp:revision>36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MFVisualMarkingsSettings">
    <vt:lpwstr>HeaderAlignment=1;FooterAlignment=1</vt:lpwstr>
  </property>
  <property fmtid="{D5CDD505-2E9C-101B-9397-08002B2CF9AE}" pid="30" name="Stanowisko">
    <vt:lpwstr>$Stanowisko</vt:lpwstr>
  </property>
  <property fmtid="{D5CDD505-2E9C-101B-9397-08002B2CF9AE}" pid="31" name="TrescPisma">
    <vt:lpwstr>$Treść Pisma</vt:lpwstr>
  </property>
  <property fmtid="{D5CDD505-2E9C-101B-9397-08002B2CF9AE}" pid="32" name="UNPPisma">
    <vt:lpwstr>$UNP Pisma</vt:lpwstr>
  </property>
  <property fmtid="{D5CDD505-2E9C-101B-9397-08002B2CF9AE}" pid="33" name="ZnakSprawy">
    <vt:lpwstr>$Znak Sprawy</vt:lpwstr>
  </property>
  <property fmtid="{D5CDD505-2E9C-101B-9397-08002B2CF9AE}" pid="34" name="adresImie">
    <vt:lpwstr>$Imię adresata</vt:lpwstr>
  </property>
  <property fmtid="{D5CDD505-2E9C-101B-9397-08002B2CF9AE}" pid="35" name="adresKodPocztowy">
    <vt:lpwstr>$Kod Pocztowy</vt:lpwstr>
  </property>
  <property fmtid="{D5CDD505-2E9C-101B-9397-08002B2CF9AE}" pid="36" name="adresMiejscowosc">
    <vt:lpwstr>$Miejscowość</vt:lpwstr>
  </property>
  <property fmtid="{D5CDD505-2E9C-101B-9397-08002B2CF9AE}" pid="37" name="adresNIP">
    <vt:lpwstr>$NIP</vt:lpwstr>
  </property>
  <property fmtid="{D5CDD505-2E9C-101B-9397-08002B2CF9AE}" pid="38" name="adresNazwa">
    <vt:lpwstr>$Nazwa adresata</vt:lpwstr>
  </property>
  <property fmtid="{D5CDD505-2E9C-101B-9397-08002B2CF9AE}" pid="39" name="adresNazwisko">
    <vt:lpwstr>$Nazwisko adresata</vt:lpwstr>
  </property>
  <property fmtid="{D5CDD505-2E9C-101B-9397-08002B2CF9AE}" pid="40" name="adresNrDomu">
    <vt:lpwstr>$Nr Domu</vt:lpwstr>
  </property>
  <property fmtid="{D5CDD505-2E9C-101B-9397-08002B2CF9AE}" pid="41" name="adresNrLokalu">
    <vt:lpwstr>$Nr Lokalu</vt:lpwstr>
  </property>
  <property fmtid="{D5CDD505-2E9C-101B-9397-08002B2CF9AE}" pid="42" name="adresPESEL">
    <vt:lpwstr>$PESEL</vt:lpwstr>
  </property>
  <property fmtid="{D5CDD505-2E9C-101B-9397-08002B2CF9AE}" pid="43" name="adresUlica">
    <vt:lpwstr>$Ulica</vt:lpwstr>
  </property>
</Properties>
</file>